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A6" w:rsidRDefault="00323DA6" w:rsidP="00EB3A9C">
      <w:pPr>
        <w:spacing w:after="0"/>
        <w:jc w:val="right"/>
        <w:rPr>
          <w:rFonts w:ascii="Segoe UI" w:hAnsi="Segoe UI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-247650</wp:posOffset>
            </wp:positionV>
            <wp:extent cx="876300" cy="828675"/>
            <wp:effectExtent l="19050" t="0" r="0" b="0"/>
            <wp:wrapTight wrapText="bothSides" distL="114300" distR="114300">
              <wp:wrapPolygon edited="0">
                <wp:start x="9391" y="0"/>
                <wp:lineTo x="3757" y="2483"/>
                <wp:lineTo x="2817" y="14897"/>
                <wp:lineTo x="-470" y="15890"/>
                <wp:lineTo x="-470" y="17379"/>
                <wp:lineTo x="1878" y="21352"/>
                <wp:lineTo x="19722" y="21352"/>
                <wp:lineTo x="21600" y="17379"/>
                <wp:lineTo x="21600" y="15890"/>
                <wp:lineTo x="18313" y="15890"/>
                <wp:lineTo x="17843" y="9434"/>
                <wp:lineTo x="18783" y="4469"/>
                <wp:lineTo x="17374" y="1986"/>
                <wp:lineTo x="12209" y="0"/>
                <wp:lineTo x="9391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687">
        <w:rPr>
          <w:rFonts w:ascii="Segoe UI" w:hAnsi="Segoe UI"/>
          <w:b/>
          <w:sz w:val="32"/>
        </w:rPr>
        <w:t>1</w:t>
      </w:r>
      <w:r w:rsidR="00B54888">
        <w:rPr>
          <w:rFonts w:ascii="Segoe UI" w:hAnsi="Segoe UI"/>
          <w:b/>
          <w:sz w:val="32"/>
        </w:rPr>
        <w:t>2</w:t>
      </w:r>
      <w:r w:rsidR="00A52C56">
        <w:rPr>
          <w:rFonts w:ascii="Segoe UI" w:hAnsi="Segoe UI"/>
          <w:b/>
          <w:sz w:val="32"/>
        </w:rPr>
        <w:t>.</w:t>
      </w:r>
      <w:r w:rsidR="00732882">
        <w:rPr>
          <w:rFonts w:ascii="Segoe UI" w:hAnsi="Segoe UI"/>
          <w:b/>
          <w:sz w:val="32"/>
        </w:rPr>
        <w:t>01.2024</w:t>
      </w:r>
    </w:p>
    <w:p w:rsidR="00323DA6" w:rsidRDefault="00323DA6" w:rsidP="00EB3A9C">
      <w:pPr>
        <w:spacing w:after="0" w:line="240" w:lineRule="atLeast"/>
        <w:jc w:val="right"/>
        <w:rPr>
          <w:b/>
          <w:sz w:val="32"/>
        </w:rPr>
      </w:pPr>
      <w:r>
        <w:rPr>
          <w:rFonts w:ascii="Segoe UI Light" w:hAnsi="Segoe UI Light"/>
          <w:b/>
          <w:sz w:val="32"/>
        </w:rPr>
        <w:t xml:space="preserve">   Пресс-релиз</w:t>
      </w:r>
    </w:p>
    <w:p w:rsidR="00EB3A9C" w:rsidRDefault="00EB3A9C" w:rsidP="006C3749">
      <w:pPr>
        <w:spacing w:after="0" w:line="240" w:lineRule="auto"/>
        <w:jc w:val="center"/>
        <w:rPr>
          <w:rFonts w:ascii="Segoe UI" w:hAnsi="Segoe UI"/>
          <w:b/>
          <w:sz w:val="32"/>
        </w:rPr>
      </w:pPr>
    </w:p>
    <w:p w:rsidR="00925687" w:rsidRDefault="00925687" w:rsidP="006C3749">
      <w:pPr>
        <w:spacing w:after="0" w:line="240" w:lineRule="auto"/>
        <w:jc w:val="center"/>
        <w:rPr>
          <w:rFonts w:ascii="Segoe UI" w:hAnsi="Segoe UI"/>
          <w:b/>
          <w:sz w:val="32"/>
        </w:rPr>
      </w:pPr>
    </w:p>
    <w:p w:rsidR="00CB4306" w:rsidRDefault="00B54888" w:rsidP="006C3749">
      <w:pPr>
        <w:spacing w:after="0" w:line="240" w:lineRule="auto"/>
        <w:jc w:val="center"/>
        <w:rPr>
          <w:rFonts w:ascii="Segoe UI" w:hAnsi="Segoe UI"/>
          <w:b/>
          <w:sz w:val="32"/>
        </w:rPr>
      </w:pPr>
      <w:r w:rsidRPr="00B54888">
        <w:rPr>
          <w:rFonts w:ascii="Segoe UI" w:hAnsi="Segoe UI"/>
          <w:b/>
          <w:sz w:val="32"/>
        </w:rPr>
        <w:t>Как объединить два земельных участка, которые расположены рядом</w:t>
      </w:r>
      <w:r>
        <w:rPr>
          <w:rFonts w:ascii="Segoe UI" w:hAnsi="Segoe UI"/>
          <w:b/>
          <w:sz w:val="32"/>
        </w:rPr>
        <w:t>?</w:t>
      </w:r>
    </w:p>
    <w:p w:rsidR="00B54888" w:rsidRDefault="00B54888" w:rsidP="00B54888">
      <w:pPr>
        <w:spacing w:after="0" w:line="240" w:lineRule="auto"/>
        <w:jc w:val="both"/>
        <w:rPr>
          <w:rFonts w:ascii="Segoe UI" w:hAnsi="Segoe UI"/>
          <w:i/>
          <w:color w:val="000000" w:themeColor="text1"/>
          <w:sz w:val="24"/>
          <w:szCs w:val="24"/>
        </w:rPr>
      </w:pPr>
    </w:p>
    <w:p w:rsidR="00B54888" w:rsidRPr="00B54888" w:rsidRDefault="00B54888" w:rsidP="00B54888">
      <w:pPr>
        <w:spacing w:after="0" w:line="240" w:lineRule="auto"/>
        <w:jc w:val="both"/>
        <w:rPr>
          <w:rFonts w:ascii="Segoe UI" w:hAnsi="Segoe UI"/>
          <w:b/>
          <w:color w:val="000000" w:themeColor="text1"/>
          <w:sz w:val="24"/>
          <w:szCs w:val="24"/>
        </w:rPr>
      </w:pPr>
      <w:proofErr w:type="spellStart"/>
      <w:r w:rsidRPr="00B54888">
        <w:rPr>
          <w:rFonts w:ascii="Segoe UI" w:hAnsi="Segoe UI"/>
          <w:color w:val="000000" w:themeColor="text1"/>
          <w:sz w:val="24"/>
          <w:szCs w:val="24"/>
        </w:rPr>
        <w:t>Росреестр</w:t>
      </w:r>
      <w:proofErr w:type="spellEnd"/>
      <w:r w:rsidRPr="00B54888">
        <w:rPr>
          <w:rFonts w:ascii="Segoe UI" w:hAnsi="Segoe UI"/>
          <w:color w:val="000000" w:themeColor="text1"/>
          <w:sz w:val="24"/>
          <w:szCs w:val="24"/>
        </w:rPr>
        <w:t xml:space="preserve"> Татарстана продолжает отвечать гражданам на вопросы, связанные с оформлением недвижимости. Один из </w:t>
      </w:r>
      <w:r w:rsidR="00BC44FD">
        <w:rPr>
          <w:rFonts w:ascii="Segoe UI" w:hAnsi="Segoe UI"/>
          <w:color w:val="000000" w:themeColor="text1"/>
          <w:sz w:val="24"/>
          <w:szCs w:val="24"/>
        </w:rPr>
        <w:t xml:space="preserve">самых актуальных и </w:t>
      </w:r>
      <w:r w:rsidRPr="00B54888">
        <w:rPr>
          <w:rFonts w:ascii="Segoe UI" w:hAnsi="Segoe UI"/>
          <w:color w:val="000000" w:themeColor="text1"/>
          <w:sz w:val="24"/>
          <w:szCs w:val="24"/>
        </w:rPr>
        <w:t xml:space="preserve">часто задаваемых – </w:t>
      </w:r>
      <w:r w:rsidRPr="00B54888">
        <w:rPr>
          <w:rFonts w:ascii="Segoe UI" w:hAnsi="Segoe UI"/>
          <w:b/>
          <w:color w:val="000000" w:themeColor="text1"/>
          <w:sz w:val="24"/>
          <w:szCs w:val="24"/>
        </w:rPr>
        <w:t>«Как объединить два земельных участка, которые расположены рядом?»</w:t>
      </w:r>
    </w:p>
    <w:p w:rsidR="00B54888" w:rsidRPr="00B54888" w:rsidRDefault="00B54888" w:rsidP="00B54888">
      <w:pPr>
        <w:spacing w:after="0" w:line="240" w:lineRule="auto"/>
        <w:jc w:val="both"/>
        <w:rPr>
          <w:rFonts w:ascii="Segoe UI" w:hAnsi="Segoe UI"/>
          <w:color w:val="000000" w:themeColor="text1"/>
          <w:sz w:val="24"/>
          <w:szCs w:val="24"/>
        </w:rPr>
      </w:pPr>
    </w:p>
    <w:p w:rsidR="00B54888" w:rsidRPr="00150C4F" w:rsidRDefault="00B54888" w:rsidP="00B54888">
      <w:pPr>
        <w:spacing w:after="0" w:line="240" w:lineRule="atLeast"/>
        <w:jc w:val="both"/>
        <w:rPr>
          <w:rFonts w:ascii="Segoe UI" w:hAnsi="Segoe UI"/>
          <w:color w:val="000000" w:themeColor="text1"/>
          <w:sz w:val="24"/>
          <w:szCs w:val="24"/>
        </w:rPr>
      </w:pPr>
      <w:r>
        <w:rPr>
          <w:rFonts w:ascii="Segoe UI" w:hAnsi="Segoe UI"/>
          <w:color w:val="000000" w:themeColor="text1"/>
          <w:sz w:val="24"/>
          <w:szCs w:val="24"/>
        </w:rPr>
        <w:t xml:space="preserve">- </w:t>
      </w:r>
      <w:r w:rsidRPr="00150C4F">
        <w:rPr>
          <w:rFonts w:ascii="Segoe UI" w:hAnsi="Segoe UI"/>
          <w:color w:val="000000" w:themeColor="text1"/>
          <w:sz w:val="24"/>
          <w:szCs w:val="24"/>
        </w:rPr>
        <w:t>При объединени</w:t>
      </w:r>
      <w:r>
        <w:rPr>
          <w:rFonts w:ascii="Segoe UI" w:hAnsi="Segoe UI"/>
          <w:color w:val="000000" w:themeColor="text1"/>
          <w:sz w:val="24"/>
          <w:szCs w:val="24"/>
        </w:rPr>
        <w:t xml:space="preserve">и </w:t>
      </w:r>
      <w:r w:rsidRPr="00150C4F">
        <w:rPr>
          <w:rFonts w:ascii="Segoe UI" w:hAnsi="Segoe UI"/>
          <w:color w:val="000000" w:themeColor="text1"/>
          <w:sz w:val="24"/>
          <w:szCs w:val="24"/>
        </w:rPr>
        <w:t>земельных участков образуется один</w:t>
      </w:r>
      <w:r>
        <w:rPr>
          <w:rFonts w:ascii="Segoe UI" w:hAnsi="Segoe UI"/>
          <w:color w:val="000000" w:themeColor="text1"/>
          <w:sz w:val="24"/>
          <w:szCs w:val="24"/>
        </w:rPr>
        <w:t>,</w:t>
      </w:r>
      <w:r w:rsidRPr="00150C4F">
        <w:rPr>
          <w:rFonts w:ascii="Segoe UI" w:hAnsi="Segoe UI"/>
          <w:color w:val="000000" w:themeColor="text1"/>
          <w:sz w:val="24"/>
          <w:szCs w:val="24"/>
        </w:rPr>
        <w:t xml:space="preserve"> и ему присваивается новый кадастровый номер, а </w:t>
      </w:r>
      <w:proofErr w:type="gramStart"/>
      <w:r w:rsidRPr="00150C4F">
        <w:rPr>
          <w:rFonts w:ascii="Segoe UI" w:hAnsi="Segoe UI"/>
          <w:color w:val="000000" w:themeColor="text1"/>
          <w:sz w:val="24"/>
          <w:szCs w:val="24"/>
        </w:rPr>
        <w:t>исходные</w:t>
      </w:r>
      <w:proofErr w:type="gramEnd"/>
      <w:r w:rsidRPr="00150C4F">
        <w:rPr>
          <w:rFonts w:ascii="Segoe UI" w:hAnsi="Segoe UI"/>
          <w:color w:val="000000" w:themeColor="text1"/>
          <w:sz w:val="24"/>
          <w:szCs w:val="24"/>
        </w:rPr>
        <w:t xml:space="preserve"> прекращают свое существование.</w:t>
      </w:r>
      <w:r>
        <w:rPr>
          <w:rFonts w:ascii="Segoe UI" w:hAnsi="Segoe UI"/>
          <w:color w:val="000000" w:themeColor="text1"/>
          <w:sz w:val="24"/>
          <w:szCs w:val="24"/>
        </w:rPr>
        <w:t xml:space="preserve"> </w:t>
      </w:r>
      <w:r w:rsidRPr="00150C4F">
        <w:rPr>
          <w:rFonts w:ascii="Segoe UI" w:hAnsi="Segoe UI"/>
          <w:color w:val="000000" w:themeColor="text1"/>
          <w:sz w:val="24"/>
          <w:szCs w:val="24"/>
        </w:rPr>
        <w:t>Для объединения двух смежных земельных участков необходимо, чтобы:</w:t>
      </w:r>
    </w:p>
    <w:p w:rsidR="00B54888" w:rsidRPr="00150C4F" w:rsidRDefault="00B54888" w:rsidP="00B54888">
      <w:pPr>
        <w:spacing w:after="0" w:line="240" w:lineRule="atLeast"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150C4F">
        <w:rPr>
          <w:rFonts w:ascii="Segoe UI" w:hAnsi="Segoe UI"/>
          <w:color w:val="000000" w:themeColor="text1"/>
          <w:sz w:val="24"/>
          <w:szCs w:val="24"/>
        </w:rPr>
        <w:t>- объединяемые земельные участки действительно  были смежными - имели общую границу;</w:t>
      </w:r>
    </w:p>
    <w:p w:rsidR="00B54888" w:rsidRPr="00150C4F" w:rsidRDefault="00B54888" w:rsidP="00B54888">
      <w:pPr>
        <w:spacing w:after="0" w:line="240" w:lineRule="atLeast"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150C4F">
        <w:rPr>
          <w:rFonts w:ascii="Segoe UI" w:hAnsi="Segoe UI"/>
          <w:color w:val="000000" w:themeColor="text1"/>
          <w:sz w:val="24"/>
          <w:szCs w:val="24"/>
        </w:rPr>
        <w:t>- объединяемые земельные участки были поставлены на государственный кадастровый учет с уточненной площадью</w:t>
      </w:r>
      <w:r>
        <w:rPr>
          <w:rFonts w:ascii="Segoe UI" w:hAnsi="Segoe UI"/>
          <w:color w:val="000000" w:themeColor="text1"/>
          <w:sz w:val="24"/>
          <w:szCs w:val="24"/>
        </w:rPr>
        <w:t>. Д</w:t>
      </w:r>
      <w:r w:rsidRPr="00150C4F">
        <w:rPr>
          <w:rFonts w:ascii="Segoe UI" w:hAnsi="Segoe UI"/>
          <w:color w:val="000000" w:themeColor="text1"/>
          <w:sz w:val="24"/>
          <w:szCs w:val="24"/>
        </w:rPr>
        <w:t>ля уточнения границ и площади смежных земельных участков необходимо обратиться к кадастровому инженеру для подготовки межевого плана;</w:t>
      </w:r>
    </w:p>
    <w:p w:rsidR="00B54888" w:rsidRPr="00150C4F" w:rsidRDefault="00B54888" w:rsidP="00B54888">
      <w:pPr>
        <w:spacing w:after="0" w:line="240" w:lineRule="atLeast"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150C4F">
        <w:rPr>
          <w:rFonts w:ascii="Segoe UI" w:hAnsi="Segoe UI"/>
          <w:color w:val="000000" w:themeColor="text1"/>
          <w:sz w:val="24"/>
          <w:szCs w:val="24"/>
        </w:rPr>
        <w:t>-  объединяемые земельные участки должны иметь один и тот же вид разрешенного использования и, соответственно, категорию;</w:t>
      </w:r>
    </w:p>
    <w:p w:rsidR="00B54888" w:rsidRPr="00150C4F" w:rsidRDefault="00B54888" w:rsidP="00B54888">
      <w:pPr>
        <w:spacing w:after="0" w:line="240" w:lineRule="atLeast"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150C4F">
        <w:rPr>
          <w:rFonts w:ascii="Segoe UI" w:hAnsi="Segoe UI"/>
          <w:color w:val="000000" w:themeColor="text1"/>
          <w:sz w:val="24"/>
          <w:szCs w:val="24"/>
        </w:rPr>
        <w:t>- образуемый земельный участок должен удовлетворять установленным Правилами  землепользования и застройки предельным максимальным и минимальным размерам, сведен</w:t>
      </w:r>
      <w:r>
        <w:rPr>
          <w:rFonts w:ascii="Segoe UI" w:hAnsi="Segoe UI"/>
          <w:color w:val="000000" w:themeColor="text1"/>
          <w:sz w:val="24"/>
          <w:szCs w:val="24"/>
        </w:rPr>
        <w:t>ия о которых можно уточнить в о</w:t>
      </w:r>
      <w:r w:rsidRPr="00150C4F">
        <w:rPr>
          <w:rFonts w:ascii="Segoe UI" w:hAnsi="Segoe UI"/>
          <w:color w:val="000000" w:themeColor="text1"/>
          <w:sz w:val="24"/>
          <w:szCs w:val="24"/>
        </w:rPr>
        <w:t>р</w:t>
      </w:r>
      <w:r>
        <w:rPr>
          <w:rFonts w:ascii="Segoe UI" w:hAnsi="Segoe UI"/>
          <w:color w:val="000000" w:themeColor="text1"/>
          <w:sz w:val="24"/>
          <w:szCs w:val="24"/>
        </w:rPr>
        <w:t>г</w:t>
      </w:r>
      <w:r w:rsidRPr="00150C4F">
        <w:rPr>
          <w:rFonts w:ascii="Segoe UI" w:hAnsi="Segoe UI"/>
          <w:color w:val="000000" w:themeColor="text1"/>
          <w:sz w:val="24"/>
          <w:szCs w:val="24"/>
        </w:rPr>
        <w:t>ане местного самоуправления или на сайте муниципального образования.</w:t>
      </w:r>
    </w:p>
    <w:p w:rsidR="00B54888" w:rsidRPr="00150C4F" w:rsidRDefault="00B54888" w:rsidP="00B54888">
      <w:pPr>
        <w:spacing w:after="0" w:line="240" w:lineRule="atLeast"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150C4F">
        <w:rPr>
          <w:rFonts w:ascii="Segoe UI" w:hAnsi="Segoe UI"/>
          <w:color w:val="000000" w:themeColor="text1"/>
          <w:sz w:val="24"/>
          <w:szCs w:val="24"/>
        </w:rPr>
        <w:t>Объединение земельных участков в один земельный участок допускается только при условии, если образуемый земельный участок будет находит</w:t>
      </w:r>
      <w:r>
        <w:rPr>
          <w:rFonts w:ascii="Segoe UI" w:hAnsi="Segoe UI"/>
          <w:color w:val="000000" w:themeColor="text1"/>
          <w:sz w:val="24"/>
          <w:szCs w:val="24"/>
        </w:rPr>
        <w:t>ь</w:t>
      </w:r>
      <w:r w:rsidRPr="00150C4F">
        <w:rPr>
          <w:rFonts w:ascii="Segoe UI" w:hAnsi="Segoe UI"/>
          <w:color w:val="000000" w:themeColor="text1"/>
          <w:sz w:val="24"/>
          <w:szCs w:val="24"/>
        </w:rPr>
        <w:t>ся в границах одного муниципального образования (населенного пункта).</w:t>
      </w:r>
    </w:p>
    <w:p w:rsidR="00B54888" w:rsidRPr="00150C4F" w:rsidRDefault="00B54888" w:rsidP="00B54888">
      <w:pPr>
        <w:spacing w:after="0" w:line="240" w:lineRule="atLeast"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150C4F">
        <w:rPr>
          <w:rFonts w:ascii="Segoe UI" w:hAnsi="Segoe UI"/>
          <w:color w:val="000000" w:themeColor="text1"/>
          <w:sz w:val="24"/>
          <w:szCs w:val="24"/>
        </w:rPr>
        <w:t xml:space="preserve">С заявлением о постановке на кадастровый учет и государственную регистрацию  может обратиться как собственник, так и кадастровый инженер. Заявление о постановке на государственный кадастровый учет и государственную регистрацию прав можно подать  через МФЦ или через личный кабинет </w:t>
      </w:r>
      <w:r>
        <w:rPr>
          <w:rFonts w:ascii="Segoe UI" w:hAnsi="Segoe UI"/>
          <w:color w:val="000000" w:themeColor="text1"/>
          <w:sz w:val="24"/>
          <w:szCs w:val="24"/>
        </w:rPr>
        <w:t xml:space="preserve">на портале </w:t>
      </w:r>
      <w:proofErr w:type="spellStart"/>
      <w:r w:rsidRPr="00150C4F">
        <w:rPr>
          <w:rFonts w:ascii="Segoe UI" w:hAnsi="Segoe UI"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Segoe UI" w:hAnsi="Segoe UI"/>
          <w:color w:val="000000" w:themeColor="text1"/>
          <w:sz w:val="24"/>
          <w:szCs w:val="24"/>
        </w:rPr>
        <w:t>.</w:t>
      </w:r>
    </w:p>
    <w:p w:rsidR="00B54888" w:rsidRPr="00150C4F" w:rsidRDefault="00B54888" w:rsidP="00B54888">
      <w:pPr>
        <w:spacing w:after="0" w:line="240" w:lineRule="atLeast"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150C4F">
        <w:rPr>
          <w:rFonts w:ascii="Segoe UI" w:hAnsi="Segoe UI"/>
          <w:color w:val="000000" w:themeColor="text1"/>
          <w:sz w:val="24"/>
          <w:szCs w:val="24"/>
        </w:rPr>
        <w:t>Размер государственной пошлины будет зависеть от вида разрешенного использования земельного участка</w:t>
      </w:r>
      <w:r>
        <w:rPr>
          <w:rFonts w:ascii="Segoe UI" w:hAnsi="Segoe UI"/>
          <w:color w:val="000000" w:themeColor="text1"/>
          <w:sz w:val="24"/>
          <w:szCs w:val="24"/>
        </w:rPr>
        <w:t>. Согласно Налоговому кодексу</w:t>
      </w:r>
      <w:r w:rsidRPr="00150C4F">
        <w:rPr>
          <w:rFonts w:ascii="Segoe UI" w:hAnsi="Segoe UI"/>
          <w:color w:val="000000" w:themeColor="text1"/>
          <w:sz w:val="24"/>
          <w:szCs w:val="24"/>
        </w:rPr>
        <w:t xml:space="preserve"> РФ  государственная регистрация права собственности физического лица на земельный участок, для ведения личного подсобного хозяйств</w:t>
      </w:r>
      <w:r>
        <w:rPr>
          <w:rFonts w:ascii="Segoe UI" w:hAnsi="Segoe UI"/>
          <w:color w:val="000000" w:themeColor="text1"/>
          <w:sz w:val="24"/>
          <w:szCs w:val="24"/>
        </w:rPr>
        <w:t xml:space="preserve">а, огородничества, садоводства составляет </w:t>
      </w:r>
      <w:r w:rsidRPr="00150C4F">
        <w:rPr>
          <w:rFonts w:ascii="Segoe UI" w:hAnsi="Segoe UI"/>
          <w:color w:val="000000" w:themeColor="text1"/>
          <w:sz w:val="24"/>
          <w:szCs w:val="24"/>
        </w:rPr>
        <w:t xml:space="preserve"> 350 рублей, в остальных случаях - 2000 рублей.</w:t>
      </w:r>
    </w:p>
    <w:p w:rsidR="00B54888" w:rsidRPr="00150C4F" w:rsidRDefault="00B54888" w:rsidP="00B54888">
      <w:pPr>
        <w:spacing w:after="0" w:line="240" w:lineRule="atLeast"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150C4F">
        <w:rPr>
          <w:rFonts w:ascii="Segoe UI" w:hAnsi="Segoe UI"/>
          <w:color w:val="000000" w:themeColor="text1"/>
          <w:sz w:val="24"/>
          <w:szCs w:val="24"/>
        </w:rPr>
        <w:t>Также стоит добавить, что  при объединении земельных участков, принадлежащих на праве общей собственности разным лицам, у них возникает право общей собственности на образуемый земельный участок.</w:t>
      </w:r>
    </w:p>
    <w:p w:rsidR="000C57EC" w:rsidRPr="00B54888" w:rsidRDefault="000C57EC" w:rsidP="000C57EC">
      <w:pPr>
        <w:spacing w:line="240" w:lineRule="auto"/>
        <w:jc w:val="right"/>
        <w:rPr>
          <w:rFonts w:ascii="Segoe UI" w:hAnsi="Segoe UI"/>
          <w:b/>
          <w:sz w:val="20"/>
          <w:szCs w:val="20"/>
        </w:rPr>
      </w:pPr>
      <w:r w:rsidRPr="00B54888">
        <w:rPr>
          <w:rFonts w:ascii="Segoe UI" w:hAnsi="Segoe UI"/>
          <w:b/>
          <w:sz w:val="20"/>
          <w:szCs w:val="20"/>
        </w:rPr>
        <w:t>Контакты для СМИ</w:t>
      </w:r>
    </w:p>
    <w:p w:rsidR="000C57EC" w:rsidRPr="00B54888" w:rsidRDefault="000C57EC" w:rsidP="000C57EC">
      <w:pPr>
        <w:spacing w:after="0"/>
        <w:jc w:val="right"/>
        <w:rPr>
          <w:rFonts w:ascii="Segoe UI" w:hAnsi="Segoe UI"/>
          <w:sz w:val="20"/>
          <w:szCs w:val="20"/>
        </w:rPr>
      </w:pPr>
      <w:r w:rsidRPr="00B54888">
        <w:rPr>
          <w:rFonts w:ascii="Segoe UI" w:hAnsi="Segoe UI"/>
          <w:sz w:val="20"/>
          <w:szCs w:val="20"/>
        </w:rPr>
        <w:t xml:space="preserve">Пресс-служба </w:t>
      </w:r>
      <w:proofErr w:type="spellStart"/>
      <w:r w:rsidRPr="00B54888">
        <w:rPr>
          <w:rFonts w:ascii="Segoe UI" w:hAnsi="Segoe UI"/>
          <w:sz w:val="20"/>
          <w:szCs w:val="20"/>
        </w:rPr>
        <w:t>Росреестра</w:t>
      </w:r>
      <w:proofErr w:type="spellEnd"/>
      <w:r w:rsidRPr="00B54888">
        <w:rPr>
          <w:rFonts w:ascii="Segoe UI" w:hAnsi="Segoe UI"/>
          <w:sz w:val="20"/>
          <w:szCs w:val="20"/>
        </w:rPr>
        <w:t xml:space="preserve"> Татарстана </w:t>
      </w:r>
    </w:p>
    <w:p w:rsidR="000C57EC" w:rsidRPr="00B54888" w:rsidRDefault="000C57EC" w:rsidP="000C57EC">
      <w:pPr>
        <w:spacing w:after="0"/>
        <w:jc w:val="right"/>
        <w:rPr>
          <w:rFonts w:ascii="Segoe UI" w:hAnsi="Segoe UI"/>
          <w:sz w:val="20"/>
          <w:szCs w:val="20"/>
        </w:rPr>
      </w:pPr>
      <w:r w:rsidRPr="00B54888">
        <w:rPr>
          <w:rFonts w:ascii="Segoe UI" w:hAnsi="Segoe UI"/>
          <w:sz w:val="20"/>
          <w:szCs w:val="20"/>
        </w:rPr>
        <w:t xml:space="preserve">255-25-80 – </w:t>
      </w:r>
      <w:proofErr w:type="spellStart"/>
      <w:r w:rsidRPr="00B54888">
        <w:rPr>
          <w:rFonts w:ascii="Segoe UI" w:hAnsi="Segoe UI"/>
          <w:sz w:val="20"/>
          <w:szCs w:val="20"/>
        </w:rPr>
        <w:t>Галиуллина</w:t>
      </w:r>
      <w:proofErr w:type="spellEnd"/>
      <w:r w:rsidRPr="00B54888">
        <w:rPr>
          <w:rFonts w:ascii="Segoe UI" w:hAnsi="Segoe UI"/>
          <w:sz w:val="20"/>
          <w:szCs w:val="20"/>
        </w:rPr>
        <w:t xml:space="preserve"> Галина</w:t>
      </w:r>
    </w:p>
    <w:p w:rsidR="000C57EC" w:rsidRPr="00B54888" w:rsidRDefault="006A65B4" w:rsidP="000C57EC">
      <w:pPr>
        <w:spacing w:after="0"/>
        <w:jc w:val="right"/>
        <w:rPr>
          <w:rFonts w:ascii="Segoe UI" w:hAnsi="Segoe UI"/>
          <w:sz w:val="20"/>
          <w:szCs w:val="20"/>
        </w:rPr>
      </w:pPr>
      <w:hyperlink r:id="rId6" w:history="1">
        <w:r w:rsidR="000C57EC" w:rsidRPr="00B54888">
          <w:rPr>
            <w:rFonts w:ascii="Segoe UI" w:hAnsi="Segoe UI"/>
            <w:sz w:val="20"/>
            <w:szCs w:val="20"/>
          </w:rPr>
          <w:t>https://rosreestr.tatarstan.ru</w:t>
        </w:r>
      </w:hyperlink>
    </w:p>
    <w:p w:rsidR="000C57EC" w:rsidRPr="00B54888" w:rsidRDefault="000C57EC">
      <w:pPr>
        <w:spacing w:after="100" w:afterAutospacing="1" w:line="240" w:lineRule="atLeast"/>
        <w:jc w:val="right"/>
        <w:rPr>
          <w:rFonts w:ascii="Segoe UI" w:hAnsi="Segoe UI"/>
          <w:sz w:val="20"/>
          <w:szCs w:val="20"/>
        </w:rPr>
      </w:pPr>
      <w:r w:rsidRPr="00B54888">
        <w:rPr>
          <w:rFonts w:ascii="Segoe UI" w:hAnsi="Segoe UI"/>
          <w:sz w:val="20"/>
          <w:szCs w:val="20"/>
        </w:rPr>
        <w:t xml:space="preserve">https://vk.com/rosreestr16                                                                                                            https://t.me/rosreestr_tatarstan </w:t>
      </w:r>
    </w:p>
    <w:sectPr w:rsidR="000C57EC" w:rsidRPr="00B54888" w:rsidSect="00B54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44F2"/>
    <w:rsid w:val="000134AC"/>
    <w:rsid w:val="00035058"/>
    <w:rsid w:val="00041C44"/>
    <w:rsid w:val="00047F18"/>
    <w:rsid w:val="0005722B"/>
    <w:rsid w:val="000A4BA3"/>
    <w:rsid w:val="000B36D2"/>
    <w:rsid w:val="000C57EC"/>
    <w:rsid w:val="000E4DB0"/>
    <w:rsid w:val="001053A4"/>
    <w:rsid w:val="001124FA"/>
    <w:rsid w:val="001132CC"/>
    <w:rsid w:val="00120F22"/>
    <w:rsid w:val="00125FA6"/>
    <w:rsid w:val="00126CA6"/>
    <w:rsid w:val="001311AD"/>
    <w:rsid w:val="00153D7F"/>
    <w:rsid w:val="001571CE"/>
    <w:rsid w:val="00164F7B"/>
    <w:rsid w:val="00165863"/>
    <w:rsid w:val="001C34D6"/>
    <w:rsid w:val="001D5890"/>
    <w:rsid w:val="001E4E14"/>
    <w:rsid w:val="001F3B74"/>
    <w:rsid w:val="001F63E8"/>
    <w:rsid w:val="00233870"/>
    <w:rsid w:val="00247331"/>
    <w:rsid w:val="00276982"/>
    <w:rsid w:val="002814B7"/>
    <w:rsid w:val="002C41A0"/>
    <w:rsid w:val="002D2F36"/>
    <w:rsid w:val="002E357F"/>
    <w:rsid w:val="00301702"/>
    <w:rsid w:val="00302F43"/>
    <w:rsid w:val="00323DA6"/>
    <w:rsid w:val="00371112"/>
    <w:rsid w:val="00374EAC"/>
    <w:rsid w:val="003A55BD"/>
    <w:rsid w:val="003B22BF"/>
    <w:rsid w:val="003B3B40"/>
    <w:rsid w:val="003F55C5"/>
    <w:rsid w:val="00430F8C"/>
    <w:rsid w:val="00447524"/>
    <w:rsid w:val="00450043"/>
    <w:rsid w:val="004811F0"/>
    <w:rsid w:val="00493179"/>
    <w:rsid w:val="004A10F5"/>
    <w:rsid w:val="004A223E"/>
    <w:rsid w:val="004B01FF"/>
    <w:rsid w:val="004B44F2"/>
    <w:rsid w:val="004F406C"/>
    <w:rsid w:val="0050162B"/>
    <w:rsid w:val="00514A20"/>
    <w:rsid w:val="00514FCA"/>
    <w:rsid w:val="005329BA"/>
    <w:rsid w:val="00557B88"/>
    <w:rsid w:val="00567641"/>
    <w:rsid w:val="00571E9C"/>
    <w:rsid w:val="00591F32"/>
    <w:rsid w:val="005B4E7C"/>
    <w:rsid w:val="005B6ACF"/>
    <w:rsid w:val="005D693D"/>
    <w:rsid w:val="005F5E8D"/>
    <w:rsid w:val="00614FC7"/>
    <w:rsid w:val="00632118"/>
    <w:rsid w:val="006343F8"/>
    <w:rsid w:val="00636D07"/>
    <w:rsid w:val="00642A38"/>
    <w:rsid w:val="00643BF8"/>
    <w:rsid w:val="006665DB"/>
    <w:rsid w:val="006823C6"/>
    <w:rsid w:val="0069043A"/>
    <w:rsid w:val="006A65B4"/>
    <w:rsid w:val="006B3431"/>
    <w:rsid w:val="006C3749"/>
    <w:rsid w:val="006D17DA"/>
    <w:rsid w:val="006D21C8"/>
    <w:rsid w:val="006E609B"/>
    <w:rsid w:val="00713B2C"/>
    <w:rsid w:val="0072389B"/>
    <w:rsid w:val="00732882"/>
    <w:rsid w:val="00735232"/>
    <w:rsid w:val="0074382A"/>
    <w:rsid w:val="00745F12"/>
    <w:rsid w:val="007562B6"/>
    <w:rsid w:val="00762415"/>
    <w:rsid w:val="00765E44"/>
    <w:rsid w:val="007B182F"/>
    <w:rsid w:val="007B3DF8"/>
    <w:rsid w:val="007B6888"/>
    <w:rsid w:val="00814B00"/>
    <w:rsid w:val="00821C73"/>
    <w:rsid w:val="008258AC"/>
    <w:rsid w:val="008267CB"/>
    <w:rsid w:val="00837D2C"/>
    <w:rsid w:val="0084467B"/>
    <w:rsid w:val="008848C4"/>
    <w:rsid w:val="00897DC8"/>
    <w:rsid w:val="008A3F49"/>
    <w:rsid w:val="008D2753"/>
    <w:rsid w:val="00911930"/>
    <w:rsid w:val="0092226A"/>
    <w:rsid w:val="00925687"/>
    <w:rsid w:val="0093075F"/>
    <w:rsid w:val="00942E67"/>
    <w:rsid w:val="00986402"/>
    <w:rsid w:val="0098756B"/>
    <w:rsid w:val="009A7BE5"/>
    <w:rsid w:val="009B0131"/>
    <w:rsid w:val="009B7540"/>
    <w:rsid w:val="009E2ADB"/>
    <w:rsid w:val="00A05B0C"/>
    <w:rsid w:val="00A1120D"/>
    <w:rsid w:val="00A16973"/>
    <w:rsid w:val="00A52C56"/>
    <w:rsid w:val="00A5345B"/>
    <w:rsid w:val="00A579A1"/>
    <w:rsid w:val="00A64BE1"/>
    <w:rsid w:val="00AB37AD"/>
    <w:rsid w:val="00AD23A3"/>
    <w:rsid w:val="00AD3DDD"/>
    <w:rsid w:val="00AE5EE1"/>
    <w:rsid w:val="00B01DDD"/>
    <w:rsid w:val="00B402F3"/>
    <w:rsid w:val="00B54888"/>
    <w:rsid w:val="00B57CEE"/>
    <w:rsid w:val="00B7169D"/>
    <w:rsid w:val="00B8554E"/>
    <w:rsid w:val="00BB3BC4"/>
    <w:rsid w:val="00BC44FD"/>
    <w:rsid w:val="00BE0D54"/>
    <w:rsid w:val="00C0610A"/>
    <w:rsid w:val="00C20C88"/>
    <w:rsid w:val="00C26191"/>
    <w:rsid w:val="00C4634B"/>
    <w:rsid w:val="00C51B14"/>
    <w:rsid w:val="00C62363"/>
    <w:rsid w:val="00C650C3"/>
    <w:rsid w:val="00C67FC6"/>
    <w:rsid w:val="00C75277"/>
    <w:rsid w:val="00C843D6"/>
    <w:rsid w:val="00C9216E"/>
    <w:rsid w:val="00C95DA5"/>
    <w:rsid w:val="00C95F41"/>
    <w:rsid w:val="00CB4306"/>
    <w:rsid w:val="00D26C66"/>
    <w:rsid w:val="00D27B44"/>
    <w:rsid w:val="00D42750"/>
    <w:rsid w:val="00D445D1"/>
    <w:rsid w:val="00DC0783"/>
    <w:rsid w:val="00DE3456"/>
    <w:rsid w:val="00DE3E5C"/>
    <w:rsid w:val="00DF51C5"/>
    <w:rsid w:val="00E26A2E"/>
    <w:rsid w:val="00E72B92"/>
    <w:rsid w:val="00E94C25"/>
    <w:rsid w:val="00E97599"/>
    <w:rsid w:val="00E97BD7"/>
    <w:rsid w:val="00EA6FE2"/>
    <w:rsid w:val="00EB1553"/>
    <w:rsid w:val="00EB3A9C"/>
    <w:rsid w:val="00EE31FB"/>
    <w:rsid w:val="00F043D5"/>
    <w:rsid w:val="00F062E5"/>
    <w:rsid w:val="00F157CC"/>
    <w:rsid w:val="00F202C1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323DA6"/>
    <w:rPr>
      <w:rFonts w:eastAsia="Times New Roman" w:cs="Times New Roman"/>
      <w:color w:val="0000FF" w:themeColor="hyperlink"/>
      <w:szCs w:val="20"/>
      <w:u w:val="single"/>
    </w:rPr>
  </w:style>
  <w:style w:type="character" w:styleId="a3">
    <w:name w:val="Hyperlink"/>
    <w:basedOn w:val="a0"/>
    <w:link w:val="1"/>
    <w:rsid w:val="00323DA6"/>
    <w:rPr>
      <w:rFonts w:eastAsia="Times New Roman" w:cs="Times New Roman"/>
      <w:color w:val="0000FF" w:themeColor="hyperlink"/>
      <w:szCs w:val="20"/>
      <w:u w:val="single"/>
    </w:rPr>
  </w:style>
  <w:style w:type="paragraph" w:styleId="a4">
    <w:name w:val="No Spacing"/>
    <w:link w:val="a5"/>
    <w:uiPriority w:val="1"/>
    <w:qFormat/>
    <w:rsid w:val="0075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7562B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uiPriority w:val="99"/>
    <w:rsid w:val="007562B6"/>
    <w:rPr>
      <w:b/>
      <w:bCs/>
      <w:color w:val="26282F"/>
    </w:rPr>
  </w:style>
  <w:style w:type="paragraph" w:styleId="a7">
    <w:name w:val="Normal (Web)"/>
    <w:basedOn w:val="a"/>
    <w:uiPriority w:val="99"/>
    <w:unhideWhenUsed/>
    <w:rsid w:val="007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562B6"/>
    <w:rPr>
      <w:b/>
      <w:bCs/>
    </w:rPr>
  </w:style>
  <w:style w:type="character" w:styleId="a9">
    <w:name w:val="Emphasis"/>
    <w:basedOn w:val="a0"/>
    <w:uiPriority w:val="20"/>
    <w:qFormat/>
    <w:rsid w:val="008848C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27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D275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27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D275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18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tatar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8FF8-5A75-4F59-9839-0D94CAF6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115</cp:revision>
  <cp:lastPrinted>2024-01-10T13:41:00Z</cp:lastPrinted>
  <dcterms:created xsi:type="dcterms:W3CDTF">2023-11-07T06:38:00Z</dcterms:created>
  <dcterms:modified xsi:type="dcterms:W3CDTF">2024-01-12T06:08:00Z</dcterms:modified>
</cp:coreProperties>
</file>