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D7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Совет </w:t>
      </w:r>
      <w:proofErr w:type="spellStart"/>
      <w:r w:rsidR="00F67609">
        <w:rPr>
          <w:rFonts w:ascii="Times New Roman" w:hAnsi="Times New Roman"/>
          <w:b/>
          <w:bCs/>
          <w:sz w:val="26"/>
          <w:szCs w:val="26"/>
        </w:rPr>
        <w:t>Мюдовского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сельского поселения </w:t>
      </w:r>
      <w:r w:rsidR="00CF01D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Аксубаевского муниципального района</w:t>
      </w: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6"/>
          <w:szCs w:val="26"/>
        </w:rPr>
        <w:t xml:space="preserve">№   </w:t>
      </w:r>
      <w:r w:rsidR="00CF01D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от  </w:t>
      </w:r>
      <w:r w:rsidR="00CF01D7">
        <w:rPr>
          <w:rFonts w:ascii="Times New Roman" w:hAnsi="Times New Roman"/>
          <w:bCs/>
          <w:sz w:val="26"/>
          <w:szCs w:val="26"/>
        </w:rPr>
        <w:t xml:space="preserve"> </w:t>
      </w:r>
    </w:p>
    <w:p w:rsidR="00BA2B0E" w:rsidRDefault="00BA2B0E" w:rsidP="00BA2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2B0E" w:rsidRDefault="00BA2B0E" w:rsidP="00BA2B0E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A2B0E" w:rsidRDefault="00BA2B0E" w:rsidP="00BA2B0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изменений и дополнений в Правила землепользования</w:t>
      </w:r>
    </w:p>
    <w:p w:rsidR="00BA2B0E" w:rsidRDefault="00BA2B0E" w:rsidP="00BA2B0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застройки муниципального образования «</w:t>
      </w:r>
      <w:r w:rsidR="00F67609">
        <w:rPr>
          <w:rFonts w:ascii="Times New Roman" w:hAnsi="Times New Roman"/>
          <w:b/>
          <w:sz w:val="26"/>
          <w:szCs w:val="26"/>
        </w:rPr>
        <w:t xml:space="preserve">Мюдовское </w:t>
      </w:r>
      <w:r>
        <w:rPr>
          <w:rFonts w:ascii="Times New Roman" w:hAnsi="Times New Roman"/>
          <w:b/>
          <w:sz w:val="26"/>
          <w:szCs w:val="26"/>
        </w:rPr>
        <w:t>сельское поселение»  Аксубаевского муниципального района Республики Татарстан</w:t>
      </w:r>
    </w:p>
    <w:p w:rsidR="00BA2B0E" w:rsidRDefault="00BA2B0E" w:rsidP="00BA2B0E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A2B0E" w:rsidRDefault="00BA2B0E" w:rsidP="00BA2B0E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суда РТ по делу №2а-154/2017 от 29.06.2017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>
        <w:rPr>
          <w:rFonts w:ascii="Times New Roman" w:hAnsi="Times New Roman"/>
          <w:sz w:val="26"/>
        </w:rPr>
        <w:t>«</w:t>
      </w:r>
      <w:r w:rsidR="00F67609">
        <w:rPr>
          <w:rFonts w:ascii="Times New Roman" w:hAnsi="Times New Roman"/>
          <w:sz w:val="26"/>
        </w:rPr>
        <w:t>Мюдовское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 CYR" w:eastAsia="Times New Roman CYR" w:hAnsi="Times New Roman CYR" w:cs="Times New Roman CYR"/>
          <w:sz w:val="26"/>
        </w:rPr>
        <w:t xml:space="preserve">Совет </w:t>
      </w:r>
      <w:r w:rsidR="00F67609">
        <w:rPr>
          <w:rFonts w:ascii="Times New Roman CYR" w:eastAsia="Times New Roman CYR" w:hAnsi="Times New Roman CYR" w:cs="Times New Roman CYR"/>
          <w:sz w:val="26"/>
        </w:rPr>
        <w:t>Мюдовского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BA2B0E" w:rsidRDefault="00BA2B0E" w:rsidP="00BA2B0E">
      <w:pPr>
        <w:suppressAutoHyphens/>
        <w:spacing w:after="120"/>
        <w:ind w:left="102" w:right="23" w:firstLine="680"/>
        <w:jc w:val="both"/>
        <w:rPr>
          <w:rFonts w:ascii="Times New Roman CYR" w:eastAsia="Times New Roman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>Внести изменения и дополнения в Правила землепользование и застройки муниципального образования «</w:t>
      </w:r>
      <w:r w:rsidR="00F67609">
        <w:rPr>
          <w:rFonts w:ascii="Times New Roman CYR" w:hAnsi="Times New Roman CYR" w:cs="Times New Roman CYR"/>
          <w:sz w:val="26"/>
        </w:rPr>
        <w:t>Мюдовское</w:t>
      </w:r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образования Республики Татарстан</w:t>
      </w:r>
      <w:proofErr w:type="gramStart"/>
      <w:r>
        <w:rPr>
          <w:rFonts w:ascii="Times New Roman CYR" w:hAnsi="Times New Roman CYR" w:cs="Times New Roman CYR"/>
          <w:sz w:val="26"/>
        </w:rPr>
        <w:t xml:space="preserve"> :</w:t>
      </w:r>
      <w:proofErr w:type="gramEnd"/>
    </w:p>
    <w:p w:rsidR="00BA2B0E" w:rsidRDefault="00BA2B0E" w:rsidP="00BA2B0E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>1</w:t>
      </w:r>
      <w:r>
        <w:rPr>
          <w:rFonts w:ascii="Times New Roman" w:hAnsi="Times New Roman"/>
          <w:sz w:val="26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BA2B0E" w:rsidRDefault="00BA2B0E" w:rsidP="00BA2B0E">
      <w:pPr>
        <w:tabs>
          <w:tab w:val="left" w:pos="709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3"/>
        <w:gridCol w:w="1015"/>
        <w:gridCol w:w="2240"/>
        <w:gridCol w:w="2213"/>
      </w:tblGrid>
      <w:tr w:rsidR="00BA2B0E" w:rsidTr="00BA2B0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BA2B0E" w:rsidTr="00BA2B0E">
        <w:trPr>
          <w:trHeight w:val="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B0E" w:rsidRDefault="00BA2B0E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Жилая единица на одну семью в блокировано-многосемейном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gramEnd"/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</w:pP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BA2B0E" w:rsidTr="00BA2B0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Предельные параметры разрешенного строительства в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пределах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Минимальный отступ строений от передней границы участка (в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случаях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</w:p>
          <w:p w:rsidR="00BA2B0E" w:rsidRDefault="00BA2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BA2B0E" w:rsidRDefault="00BA2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BA2B0E" w:rsidTr="00BA2B0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а) 0-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случаях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примыкания к соседним блокам; б) 3-в иных случаях</w:t>
            </w: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BA2B0E" w:rsidTr="00BA2B0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BA2B0E" w:rsidRDefault="00BA2B0E" w:rsidP="00BA2B0E">
      <w:pPr>
        <w:jc w:val="both"/>
        <w:rPr>
          <w:rFonts w:ascii="Times New Roman" w:eastAsia="Times New Roman" w:hAnsi="Times New Roman"/>
          <w:b/>
          <w:color w:val="000000"/>
          <w:lang w:eastAsia="en-US"/>
        </w:rPr>
      </w:pPr>
    </w:p>
    <w:p w:rsidR="00BA2B0E" w:rsidRDefault="00BA2B0E" w:rsidP="00BA2B0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  <w:vertAlign w:val="superscript"/>
        </w:rPr>
        <w:t xml:space="preserve">* </w:t>
      </w:r>
      <w:r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BA2B0E" w:rsidRDefault="00BA2B0E" w:rsidP="00BA2B0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Предельные размеры земельных участков, предоставляемых для ведения личного подсобного хозяйства,</w:t>
      </w:r>
      <w:r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9"/>
        <w:gridCol w:w="718"/>
        <w:gridCol w:w="1188"/>
        <w:gridCol w:w="2028"/>
        <w:gridCol w:w="1985"/>
        <w:gridCol w:w="1805"/>
      </w:tblGrid>
      <w:tr w:rsidR="00BA2B0E" w:rsidTr="00BA2B0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BA2B0E" w:rsidTr="00BA2B0E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B0E" w:rsidRDefault="00BA2B0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BA2B0E" w:rsidTr="00BA2B0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A2B0E" w:rsidTr="00BA2B0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BA2B0E" w:rsidTr="00BA2B0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B0E" w:rsidRDefault="00BA2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BA2B0E" w:rsidRDefault="00BA2B0E" w:rsidP="00BA2B0E">
      <w:pPr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BA2B0E" w:rsidRDefault="00BA2B0E" w:rsidP="00BA2B0E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2. Опубликовать настоящее решение в информационном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стенде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на странице </w:t>
      </w:r>
      <w:r w:rsidR="00F67609">
        <w:rPr>
          <w:rFonts w:ascii="Times New Roman CYR" w:eastAsia="Times New Roman CYR" w:hAnsi="Times New Roman CYR" w:cs="Times New Roman CYR"/>
          <w:sz w:val="26"/>
        </w:rPr>
        <w:t>Мюдовского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и на официальном сайте Аксубаевского  муниципального района  в установленный законом срок. </w:t>
      </w:r>
    </w:p>
    <w:p w:rsidR="00BA2B0E" w:rsidRDefault="00BA2B0E" w:rsidP="00BA2B0E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BA2B0E" w:rsidRDefault="00BA2B0E" w:rsidP="00BA2B0E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BA2B0E" w:rsidRDefault="00BA2B0E" w:rsidP="00BA2B0E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BA2B0E" w:rsidRDefault="00BA2B0E" w:rsidP="00BA2B0E">
      <w:pPr>
        <w:spacing w:after="0"/>
        <w:ind w:firstLine="284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>Председатель Совета, Глава</w:t>
      </w:r>
    </w:p>
    <w:p w:rsidR="00BA2B0E" w:rsidRDefault="00BA2B0E" w:rsidP="00F6760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    </w:t>
      </w:r>
      <w:r w:rsidR="00F67609">
        <w:rPr>
          <w:rFonts w:ascii="Times New Roman CYR" w:eastAsia="Times New Roman CYR" w:hAnsi="Times New Roman CYR" w:cs="Times New Roman CYR"/>
          <w:sz w:val="26"/>
        </w:rPr>
        <w:t>Мюдовского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                           </w:t>
      </w:r>
      <w:r w:rsidR="00F67609">
        <w:rPr>
          <w:rFonts w:ascii="Times New Roman CYR" w:eastAsia="Times New Roman CYR" w:hAnsi="Times New Roman CYR" w:cs="Times New Roman CYR"/>
          <w:sz w:val="26"/>
        </w:rPr>
        <w:t>Т.В. Зюзина</w:t>
      </w:r>
    </w:p>
    <w:p w:rsidR="003F3963" w:rsidRDefault="003F3963"/>
    <w:sectPr w:rsidR="003F3963" w:rsidSect="0077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A2B0E"/>
    <w:rsid w:val="001D4A4C"/>
    <w:rsid w:val="003F3963"/>
    <w:rsid w:val="00775C99"/>
    <w:rsid w:val="00BA2B0E"/>
    <w:rsid w:val="00CF01D7"/>
    <w:rsid w:val="00F00535"/>
    <w:rsid w:val="00F6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B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CF01D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Ivamash</cp:lastModifiedBy>
  <cp:revision>8</cp:revision>
  <dcterms:created xsi:type="dcterms:W3CDTF">2018-06-26T06:42:00Z</dcterms:created>
  <dcterms:modified xsi:type="dcterms:W3CDTF">2018-06-29T07:11:00Z</dcterms:modified>
</cp:coreProperties>
</file>