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58" w:rsidRDefault="00E10D58" w:rsidP="00E10D5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10D58" w:rsidRDefault="00E10D58" w:rsidP="00E10D5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E10D58" w:rsidRDefault="00E10D58" w:rsidP="00E10D5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E10D58" w:rsidRDefault="00E10D58" w:rsidP="00E10D5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10D58" w:rsidRDefault="00E10D58" w:rsidP="00E10D58">
      <w:pPr>
        <w:suppressAutoHyphens/>
        <w:autoSpaceDN w:val="0"/>
        <w:spacing w:after="0" w:line="240" w:lineRule="auto"/>
        <w:jc w:val="right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>ПРОЕКТ</w:t>
      </w: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 ПОСТАНОВЛЕНИЕ</w:t>
      </w:r>
    </w:p>
    <w:p w:rsidR="00E10D58" w:rsidRDefault="00E10D58" w:rsidP="00E10D5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</w:t>
      </w:r>
    </w:p>
    <w:tbl>
      <w:tblPr>
        <w:tblW w:w="0" w:type="auto"/>
        <w:tblInd w:w="-612" w:type="dxa"/>
        <w:tblLayout w:type="fixed"/>
        <w:tblLook w:val="01E0"/>
      </w:tblPr>
      <w:tblGrid>
        <w:gridCol w:w="4346"/>
        <w:gridCol w:w="1820"/>
        <w:gridCol w:w="4454"/>
      </w:tblGrid>
      <w:tr w:rsidR="00E10D58" w:rsidTr="00E10D58">
        <w:tc>
          <w:tcPr>
            <w:tcW w:w="4346" w:type="dxa"/>
            <w:hideMark/>
          </w:tcPr>
          <w:p w:rsidR="00E10D58" w:rsidRDefault="00E10D58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kern w:val="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kern w:val="3"/>
                <w:sz w:val="28"/>
                <w:szCs w:val="28"/>
                <w:shd w:val="clear" w:color="auto" w:fill="FFFFFF"/>
                <w:lang w:eastAsia="zh-CN"/>
              </w:rPr>
              <w:t xml:space="preserve">        №   __                                                                               </w:t>
            </w:r>
          </w:p>
        </w:tc>
        <w:tc>
          <w:tcPr>
            <w:tcW w:w="1820" w:type="dxa"/>
            <w:hideMark/>
          </w:tcPr>
          <w:p w:rsidR="00E10D58" w:rsidRDefault="00E10D5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                         </w:t>
            </w:r>
          </w:p>
        </w:tc>
        <w:tc>
          <w:tcPr>
            <w:tcW w:w="4454" w:type="dxa"/>
            <w:hideMark/>
          </w:tcPr>
          <w:p w:rsidR="00E10D58" w:rsidRDefault="00E10D58" w:rsidP="00E10D58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kern w:val="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kern w:val="3"/>
                <w:sz w:val="28"/>
                <w:szCs w:val="28"/>
                <w:shd w:val="clear" w:color="auto" w:fill="FFFFFF"/>
                <w:lang w:eastAsia="zh-CN"/>
              </w:rPr>
              <w:t>от  _________ 2019 года</w:t>
            </w:r>
          </w:p>
        </w:tc>
      </w:tr>
    </w:tbl>
    <w:p w:rsidR="00E10D58" w:rsidRDefault="00E10D58" w:rsidP="00E10D5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b/>
          <w:kern w:val="3"/>
          <w:sz w:val="28"/>
          <w:szCs w:val="28"/>
          <w:shd w:val="clear" w:color="auto" w:fill="FFFFFF"/>
          <w:lang w:eastAsia="zh-CN"/>
        </w:rPr>
        <w:t xml:space="preserve">Об утверждении Программы комплексного  развития  </w:t>
      </w:r>
      <w:r>
        <w:rPr>
          <w:rFonts w:ascii="Times New Roman" w:hAnsi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социальной </w:t>
      </w:r>
      <w:r>
        <w:rPr>
          <w:rFonts w:ascii="Times New Roman" w:hAnsi="Times New Roman"/>
          <w:b/>
          <w:color w:val="FF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инфраструктуры </w:t>
      </w:r>
      <w:proofErr w:type="spellStart"/>
      <w:r>
        <w:rPr>
          <w:rFonts w:ascii="Times New Roman" w:hAnsi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Староибрайкинского</w:t>
      </w:r>
      <w:proofErr w:type="spellEnd"/>
      <w:r>
        <w:rPr>
          <w:rFonts w:ascii="Times New Roman" w:hAnsi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Аксубаевского</w:t>
      </w:r>
      <w:proofErr w:type="spellEnd"/>
      <w:r>
        <w:rPr>
          <w:rFonts w:ascii="Times New Roman" w:hAnsi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муниципального района Республики Татарстан </w:t>
      </w:r>
    </w:p>
    <w:p w:rsidR="00E10D58" w:rsidRDefault="00E10D58" w:rsidP="00E10D58">
      <w:pPr>
        <w:suppressAutoHyphens/>
        <w:autoSpaceDN w:val="0"/>
        <w:spacing w:after="0" w:line="240" w:lineRule="auto"/>
        <w:jc w:val="center"/>
        <w:rPr>
          <w:rFonts w:cs="Calibri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на </w:t>
      </w:r>
      <w:r>
        <w:rPr>
          <w:rFonts w:ascii="Times New Roman" w:hAnsi="Times New Roman"/>
          <w:b/>
          <w:kern w:val="3"/>
          <w:sz w:val="28"/>
          <w:szCs w:val="28"/>
          <w:shd w:val="clear" w:color="auto" w:fill="FFFFFF"/>
          <w:lang w:eastAsia="zh-CN"/>
        </w:rPr>
        <w:t>2018-2035 г.г.</w:t>
      </w:r>
    </w:p>
    <w:p w:rsidR="00E10D58" w:rsidRDefault="00E10D58" w:rsidP="00E10D5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</w:pPr>
    </w:p>
    <w:p w:rsidR="00E10D58" w:rsidRDefault="00E10D58" w:rsidP="00E10D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No1050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Исполнительный комитет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ПОСТАНОВЛЯЕТ: </w:t>
      </w: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1. Утвердить Программу комплексного развития социальной инфраструктуры </w:t>
      </w:r>
      <w:proofErr w:type="spellStart"/>
      <w:r>
        <w:rPr>
          <w:rFonts w:ascii="Times New Roman" w:hAnsi="Times New Roman"/>
          <w:kern w:val="3"/>
          <w:sz w:val="28"/>
          <w:szCs w:val="28"/>
          <w:lang w:eastAsia="zh-CN"/>
        </w:rPr>
        <w:t>Староибрайкинского</w:t>
      </w:r>
      <w:proofErr w:type="spellEnd"/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муниципального района Республики Татарстан  на 2018-2035 гг.</w:t>
      </w:r>
    </w:p>
    <w:p w:rsidR="00E10D58" w:rsidRDefault="00E10D58" w:rsidP="00E10D58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2. Настоящее постановление опубликовать на официальном сайте Поселения и на официальном сайте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муниципального района РТ в сети «Интернет».</w:t>
      </w:r>
    </w:p>
    <w:p w:rsidR="00E10D58" w:rsidRDefault="00E10D58" w:rsidP="00E10D58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3. </w:t>
      </w:r>
      <w:proofErr w:type="gramStart"/>
      <w:r>
        <w:rPr>
          <w:rFonts w:ascii="Times New Roman" w:hAnsi="Times New Roman"/>
          <w:kern w:val="3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E10D58" w:rsidRDefault="00E10D58" w:rsidP="00E10D58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8"/>
          <w:szCs w:val="28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Глава  </w:t>
      </w:r>
      <w:proofErr w:type="spellStart"/>
      <w:r>
        <w:rPr>
          <w:rFonts w:ascii="Times New Roman" w:hAnsi="Times New Roman"/>
          <w:kern w:val="3"/>
          <w:sz w:val="28"/>
          <w:szCs w:val="28"/>
          <w:lang w:eastAsia="zh-CN"/>
        </w:rPr>
        <w:t>Староибрайкинского</w:t>
      </w:r>
      <w:proofErr w:type="spellEnd"/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 сельского поселения</w:t>
      </w: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муниципального района   РТ                               </w:t>
      </w:r>
      <w:proofErr w:type="spellStart"/>
      <w:r>
        <w:rPr>
          <w:rFonts w:ascii="Times New Roman" w:hAnsi="Times New Roman"/>
          <w:kern w:val="3"/>
          <w:sz w:val="28"/>
          <w:szCs w:val="28"/>
          <w:lang w:eastAsia="zh-CN"/>
        </w:rPr>
        <w:t>М.Г.Минигулов</w:t>
      </w:r>
      <w:proofErr w:type="spellEnd"/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                    </w:t>
      </w: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10D58" w:rsidRDefault="00E10D58" w:rsidP="00E10D58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10D58" w:rsidRDefault="00E10D58" w:rsidP="00E10D58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</w:p>
    <w:p w:rsidR="00E10D58" w:rsidRDefault="00E10D58" w:rsidP="00E10D58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lastRenderedPageBreak/>
        <w:t>Утвержден</w:t>
      </w:r>
    </w:p>
    <w:p w:rsidR="00E10D58" w:rsidRDefault="00E10D58" w:rsidP="00E10D58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Постановлением </w:t>
      </w:r>
    </w:p>
    <w:p w:rsidR="00E10D58" w:rsidRDefault="00E10D58" w:rsidP="00E10D58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Исполнительного комитета </w:t>
      </w:r>
    </w:p>
    <w:p w:rsidR="00E10D58" w:rsidRDefault="00E10D58" w:rsidP="00E10D58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</w:rPr>
        <w:t>Староибрайкинского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сельского поселения</w:t>
      </w:r>
    </w:p>
    <w:p w:rsidR="00E10D58" w:rsidRDefault="00E10D58" w:rsidP="00E10D58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</w:rPr>
        <w:t>Аксубаевского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муниципального района РТ</w:t>
      </w:r>
    </w:p>
    <w:p w:rsidR="00E10D58" w:rsidRDefault="00E10D58" w:rsidP="00E10D58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№    __   от    _______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г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>.</w:t>
      </w:r>
    </w:p>
    <w:p w:rsidR="00E10D58" w:rsidRDefault="00E10D58" w:rsidP="00E10D58">
      <w:pPr>
        <w:suppressAutoHyphens/>
        <w:autoSpaceDN w:val="0"/>
        <w:spacing w:after="0" w:line="240" w:lineRule="auto"/>
        <w:jc w:val="right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</w:pPr>
      <w:r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>ПРОГРАММА</w:t>
      </w: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</w:pPr>
      <w:r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 xml:space="preserve">КОМПЛЕКСНОГО РАЗВИТИЯ СОЦИАЛЬНОЙ ИНФРАСТРУКТУРЫ  </w:t>
      </w:r>
      <w:r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 xml:space="preserve">СТАРОИБРАЙКИНСКОГО  </w:t>
      </w:r>
      <w:r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 xml:space="preserve">СЕЛЬСКОГО ПОСЕЛЕНИЯ </w:t>
      </w:r>
      <w:r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 xml:space="preserve">АКСУБАЕВСКОГО </w:t>
      </w:r>
      <w:r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 xml:space="preserve">МУНИЦИПАЛЬНОГО РАЙОНА </w:t>
      </w:r>
      <w:r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 xml:space="preserve">РЕСПУБЛИКИ ТАТАРСТАН  </w:t>
      </w: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</w:pPr>
      <w:proofErr w:type="spellStart"/>
      <w:r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 xml:space="preserve"> 201</w:t>
      </w:r>
      <w:r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>8</w:t>
      </w:r>
      <w:r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>-2035</w:t>
      </w:r>
      <w:r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>гг.</w:t>
      </w: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eastAsia="ja-JP" w:bidi="fa-IR"/>
        </w:rPr>
      </w:pP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Паспорт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</w:p>
    <w:tbl>
      <w:tblPr>
        <w:tblW w:w="9810" w:type="dxa"/>
        <w:tblInd w:w="-13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661"/>
        <w:gridCol w:w="7149"/>
      </w:tblGrid>
      <w:tr w:rsidR="00E10D58" w:rsidTr="00E10D58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комплексного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развития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сельского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поселения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района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РТ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201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8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-2035гг.</w:t>
            </w:r>
          </w:p>
        </w:tc>
      </w:tr>
      <w:tr w:rsidR="00E10D58" w:rsidTr="00E10D58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Обоснование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разработки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Федеральный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закон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06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.10.2003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№131-ФЗ «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общих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принципах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организации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местного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Российской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Федерации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  <w:p w:rsidR="00E10D58" w:rsidRDefault="00E10D5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Генеральный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план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сельского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поселения</w:t>
            </w:r>
            <w:proofErr w:type="spellEnd"/>
          </w:p>
          <w:p w:rsidR="00E10D58" w:rsidRDefault="00E10D5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Решение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Совета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18.12.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201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года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№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15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утверждении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Генерального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плана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сельского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поселения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района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РТ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</w:tc>
      </w:tr>
      <w:tr w:rsidR="00E10D58" w:rsidTr="00E10D58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заказчика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его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местонахождение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Республики Татарстан</w:t>
            </w:r>
          </w:p>
          <w:p w:rsidR="00E10D58" w:rsidRDefault="00E10D5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423078  РТ,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Аксубаевский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район, 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. Старое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Ибрайкино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, ул. Кооперативная, дом 2.</w:t>
            </w:r>
          </w:p>
        </w:tc>
      </w:tr>
      <w:tr w:rsidR="00E10D58" w:rsidTr="00E10D58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разработчика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его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местонахождение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Республики Татарстан адрес: 423078  РТ,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Аксубаевский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район, 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. Старое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Ибрайкино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, ул. Кооперативная, дом 2.</w:t>
            </w:r>
          </w:p>
        </w:tc>
      </w:tr>
      <w:tr w:rsidR="00E10D58" w:rsidTr="00E10D58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Цель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 определение  четкой  сбалансированной  перспективы развития  данной  инфраструктуры.  Улучшение  социально-экономического развития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РТ.</w:t>
            </w:r>
          </w:p>
        </w:tc>
      </w:tr>
      <w:tr w:rsidR="00E10D58" w:rsidTr="00E10D58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Задачи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- Повышение уровня обеспеченности населения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объектами социальной инфраструктуры;</w:t>
            </w:r>
          </w:p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- безопасность, качество и эффективность использования населением объектов социальной инфраструктуры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 сельского поселения;</w:t>
            </w:r>
          </w:p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shd w:val="clear" w:color="auto" w:fill="FCFCFC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- сбалансированное, перспективное развитие социальной инфраструктуры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  <w:shd w:val="clear" w:color="auto" w:fill="FCFCFC"/>
                <w:lang w:eastAsia="ja-JP" w:bidi="fa-IR"/>
              </w:rPr>
              <w:t xml:space="preserve">сельского поселения, в соответствии с установленными потребностями в объектах социальной инфраструктуры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shd w:val="clear" w:color="auto" w:fill="FCFCFC"/>
                <w:lang w:eastAsia="ja-JP" w:bidi="fa-IR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shd w:val="clear" w:color="auto" w:fill="FCFCFC"/>
                <w:lang w:eastAsia="ja-JP" w:bidi="fa-IR"/>
              </w:rPr>
              <w:t xml:space="preserve"> сельского поселения;</w:t>
            </w:r>
          </w:p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shd w:val="clear" w:color="auto" w:fill="FCFCFC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shd w:val="clear" w:color="auto" w:fill="FCFCFC"/>
                <w:lang w:eastAsia="ja-JP" w:bidi="fa-IR"/>
              </w:rPr>
              <w:lastRenderedPageBreak/>
              <w:t>- 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 и культуры, в соответствии с нормативами градостроительного проектирования;</w:t>
            </w:r>
          </w:p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shd w:val="clear" w:color="auto" w:fill="FCFCFC"/>
                <w:lang w:eastAsia="ja-JP" w:bidi="fa-IR"/>
              </w:rPr>
              <w:t>- эффективность функционирования действующей социальной инфраструктуры.</w:t>
            </w:r>
          </w:p>
        </w:tc>
      </w:tr>
      <w:tr w:rsidR="00E10D58" w:rsidTr="00E10D58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Целевые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показатели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обеспеченности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населения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объектами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Рост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объемов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строительства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объектов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E10D58" w:rsidTr="00E10D58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Сроки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этапы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Срок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–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2018-2035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год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E10D58" w:rsidRDefault="00E10D5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E10D58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этап – с 2018 по 2026 гг.</w:t>
            </w:r>
          </w:p>
          <w:p w:rsidR="00E10D58" w:rsidRDefault="00E10D5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en-US" w:eastAsia="ja-JP" w:bidi="fa-IR"/>
              </w:rPr>
              <w:t>II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этап – с 2027 по 2035 гг.</w:t>
            </w:r>
          </w:p>
        </w:tc>
      </w:tr>
      <w:tr w:rsidR="00E10D58" w:rsidTr="00E10D58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Объемы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источники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финансирования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Источники финансирования -  Бюджет Республики Татарстан.</w:t>
            </w:r>
          </w:p>
        </w:tc>
      </w:tr>
      <w:tr w:rsidR="00E10D58" w:rsidTr="00E10D58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Ожидаемые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Обеспеченность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объектами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населени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согласно расчета перспективной численности. Удовлетворение спроса населения на услуги социальной инфраструктуры. </w:t>
            </w:r>
          </w:p>
        </w:tc>
      </w:tr>
    </w:tbl>
    <w:p w:rsidR="00E10D58" w:rsidRDefault="00E10D58" w:rsidP="00E10D5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</w:p>
    <w:p w:rsidR="00E10D58" w:rsidRDefault="00E10D58" w:rsidP="00E10D58">
      <w:pPr>
        <w:pStyle w:val="1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Характеристика существующего состояния социальной инфраструктуры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 Республики Татарстан</w:t>
      </w: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E10D58" w:rsidRDefault="00E10D58" w:rsidP="00E10D58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Описание социально-экономического состояния поселения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Староибрайкинское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района Республики Татарстан  </w:t>
      </w:r>
      <w:r>
        <w:rPr>
          <w:rFonts w:ascii="Times New Roman" w:hAnsi="Times New Roman"/>
          <w:sz w:val="24"/>
          <w:szCs w:val="24"/>
        </w:rPr>
        <w:t xml:space="preserve">включает: село Старое </w:t>
      </w:r>
      <w:proofErr w:type="spellStart"/>
      <w:r>
        <w:rPr>
          <w:rFonts w:ascii="Times New Roman" w:hAnsi="Times New Roman"/>
          <w:sz w:val="24"/>
          <w:szCs w:val="24"/>
        </w:rPr>
        <w:t>Ибрайкино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центр – село Старое </w:t>
      </w:r>
      <w:proofErr w:type="spellStart"/>
      <w:r>
        <w:rPr>
          <w:rFonts w:ascii="Times New Roman" w:hAnsi="Times New Roman"/>
          <w:sz w:val="24"/>
          <w:szCs w:val="24"/>
        </w:rPr>
        <w:t>Ибрайкино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10D58" w:rsidRDefault="00E10D58" w:rsidP="00E10D58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Численность населения 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поселения:  1867   человек.  </w:t>
      </w:r>
    </w:p>
    <w:p w:rsidR="00E10D58" w:rsidRDefault="00E10D58" w:rsidP="00E10D58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административного центра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до районного центра составляет  27 км, до республиканского центра (г. Казань) –  227 км.</w:t>
      </w:r>
    </w:p>
    <w:p w:rsidR="00E10D58" w:rsidRDefault="00E10D58" w:rsidP="00E10D58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площадь земель муниципального образования  - 57,23 кв.км.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10D58" w:rsidRDefault="00E10D58" w:rsidP="00E10D58">
      <w:pPr>
        <w:spacing w:after="200" w:line="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1.2.Технико-экономические параметры существующих объектов социальной инфраструктуры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сельском поселении находятся следующие учреждения и организации:</w:t>
      </w:r>
    </w:p>
    <w:p w:rsidR="00E10D58" w:rsidRDefault="00E10D58" w:rsidP="00E10D58">
      <w:pPr>
        <w:pStyle w:val="1"/>
        <w:spacing w:after="200" w:line="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Учреждения образования: МБОУ «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 численность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– 177 человека. </w:t>
      </w:r>
    </w:p>
    <w:p w:rsidR="00E10D58" w:rsidRDefault="00E10D58" w:rsidP="00E10D58">
      <w:pPr>
        <w:pStyle w:val="1"/>
        <w:spacing w:after="200" w:line="60" w:lineRule="atLeast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Староибрайкинский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детский сад,  численность детей 22 человек</w:t>
      </w:r>
    </w:p>
    <w:p w:rsidR="00E10D58" w:rsidRDefault="00E10D58" w:rsidP="00E10D58">
      <w:pPr>
        <w:pStyle w:val="1"/>
        <w:spacing w:after="200" w:line="6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Амбулатория- 1, в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Старое </w:t>
      </w:r>
      <w:proofErr w:type="spellStart"/>
      <w:r>
        <w:rPr>
          <w:rFonts w:ascii="Times New Roman" w:hAnsi="Times New Roman"/>
          <w:sz w:val="24"/>
          <w:szCs w:val="24"/>
        </w:rPr>
        <w:t>Ибрайкино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10D58" w:rsidRDefault="00E10D58" w:rsidP="00E10D58">
      <w:pPr>
        <w:pStyle w:val="1"/>
        <w:spacing w:after="200" w:line="6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Учреждения культурно - </w:t>
      </w:r>
      <w:proofErr w:type="spellStart"/>
      <w:r>
        <w:rPr>
          <w:rFonts w:ascii="Times New Roman" w:hAnsi="Times New Roman"/>
          <w:sz w:val="24"/>
          <w:szCs w:val="24"/>
        </w:rPr>
        <w:t>досугового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типа: Число библиотек- 2, СДК - 1 в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Старое </w:t>
      </w:r>
      <w:proofErr w:type="spellStart"/>
      <w:r>
        <w:rPr>
          <w:rFonts w:ascii="Times New Roman" w:hAnsi="Times New Roman"/>
          <w:sz w:val="24"/>
          <w:szCs w:val="24"/>
        </w:rPr>
        <w:t>Ибрайкино</w:t>
      </w:r>
      <w:proofErr w:type="spellEnd"/>
      <w:r>
        <w:rPr>
          <w:rFonts w:ascii="Times New Roman" w:hAnsi="Times New Roman"/>
          <w:sz w:val="24"/>
          <w:szCs w:val="24"/>
        </w:rPr>
        <w:t xml:space="preserve"> на 400 посадочных мест.</w:t>
      </w:r>
    </w:p>
    <w:p w:rsidR="00E10D58" w:rsidRDefault="00E10D58" w:rsidP="00E10D58">
      <w:pPr>
        <w:pStyle w:val="1"/>
        <w:spacing w:after="200" w:line="6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Спортивных сооружений – 3. </w:t>
      </w:r>
    </w:p>
    <w:p w:rsidR="00E10D58" w:rsidRDefault="00E10D58" w:rsidP="00E10D58">
      <w:pPr>
        <w:pStyle w:val="1"/>
        <w:spacing w:after="200" w:line="6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Универсальная спортивная площадка -1 и спортзал в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Старое </w:t>
      </w:r>
      <w:proofErr w:type="spellStart"/>
      <w:r>
        <w:rPr>
          <w:rFonts w:ascii="Times New Roman" w:hAnsi="Times New Roman"/>
          <w:sz w:val="24"/>
          <w:szCs w:val="24"/>
        </w:rPr>
        <w:t>Ибрайкино</w:t>
      </w:r>
      <w:proofErr w:type="spellEnd"/>
      <w:r>
        <w:rPr>
          <w:rFonts w:ascii="Times New Roman" w:hAnsi="Times New Roman"/>
          <w:sz w:val="24"/>
          <w:szCs w:val="24"/>
        </w:rPr>
        <w:t xml:space="preserve">  площадью 140,25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кв.м.</w:t>
      </w:r>
    </w:p>
    <w:p w:rsidR="00E10D58" w:rsidRDefault="00E10D58" w:rsidP="00E10D58">
      <w:pPr>
        <w:pStyle w:val="1"/>
        <w:spacing w:after="200" w:line="6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Отделения почтовой связи - 1.</w:t>
      </w:r>
    </w:p>
    <w:p w:rsidR="00E10D58" w:rsidRDefault="00E10D58" w:rsidP="00E10D58">
      <w:pPr>
        <w:pStyle w:val="1"/>
        <w:spacing w:after="200" w:line="6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Магазины- 8.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10D58" w:rsidRDefault="00E10D58" w:rsidP="00E10D58">
      <w:pPr>
        <w:spacing w:after="200" w:line="6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1.3.Прогнозируемый спрос на услуги социальной инфраструктуры.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мере развития рыночной экономики значение социальной сферы постоянно растет. Социальная инфраструктура-совокупность объектов, деятельность которых направлена на удовлетворение личных потребностей, обеспечение жизнедеятельности и интеллектуального развития населения, это совокупность отраслей национального хозяйства, создающая социальные блага в виде услуг образования, здравоохранения, культуры, туризма и </w:t>
      </w:r>
      <w:proofErr w:type="spellStart"/>
      <w:r>
        <w:rPr>
          <w:rFonts w:ascii="Times New Roman" w:hAnsi="Times New Roman"/>
          <w:sz w:val="24"/>
          <w:szCs w:val="24"/>
        </w:rPr>
        <w:t>тд</w:t>
      </w:r>
      <w:proofErr w:type="spellEnd"/>
      <w:r>
        <w:rPr>
          <w:rFonts w:ascii="Times New Roman" w:hAnsi="Times New Roman"/>
          <w:sz w:val="24"/>
          <w:szCs w:val="24"/>
        </w:rPr>
        <w:t>. Отрасли социальной сферы приобретают все большее значение в развитии общественного производства. Они оказывают непосредственное влияние на уровень благосостояния, качество жизни населения.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Прогнозирование и планирование развития образования.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Важное место среди отраслей социальной сферы занимает образование. Главное условие успешного функционирования общеобразовательной школы – это поддержание в надлежащем состоянии ее материально-технической базы. Общеобразовательные школы должны быть оснащены современными техническими средствами, укомплектованы учебниками и наглядными пособиями.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135" w:type="dxa"/>
        <w:tblInd w:w="-1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78"/>
        <w:gridCol w:w="1843"/>
        <w:gridCol w:w="1768"/>
        <w:gridCol w:w="2046"/>
      </w:tblGrid>
      <w:tr w:rsidR="00E10D58" w:rsidTr="00E10D58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Прогнозируемый</w:t>
            </w:r>
          </w:p>
        </w:tc>
      </w:tr>
      <w:tr w:rsidR="00E10D58" w:rsidTr="00E10D58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 в возрасте 1-6 лет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E10D58" w:rsidTr="00E10D58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Посещают детский сад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10D58" w:rsidTr="00E10D58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групп в детском саду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0D58" w:rsidTr="00E10D58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 в возрасте 7-17 лет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E10D58" w:rsidTr="00E10D58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Охват</w:t>
            </w:r>
            <w:proofErr w:type="spellEnd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дополнительным</w:t>
            </w:r>
            <w:proofErr w:type="spellEnd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образованием</w:t>
            </w:r>
            <w:proofErr w:type="spellEnd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детей</w:t>
            </w:r>
            <w:proofErr w:type="spellEnd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возрасте</w:t>
            </w:r>
            <w:proofErr w:type="spellEnd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5 </w:t>
            </w: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до</w:t>
            </w:r>
            <w:proofErr w:type="spellEnd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18 </w:t>
            </w: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лет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Прогнозирование и планирование развития здравоохранения.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Здравоохранение способствует улучшению здоровья населения, росту продолжительности жизни. Благодаря расширению систем здравоохранения, использованию современного медицинского оборудования, удается улучшить качество медицинского обслуживания, добиться уменьшения заболеваемости. Первоочередными задачами здравоохранения являются: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гарантированное обеспечение установленного объема медицинской помощи и профилактическими услугами в учреждениях здравоохранения;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-первоочередная реконструкция действующих учреждений и строительство новых;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квалифицированными специалистами.</w:t>
      </w:r>
    </w:p>
    <w:tbl>
      <w:tblPr>
        <w:tblW w:w="9450" w:type="dxa"/>
        <w:tblInd w:w="-1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87"/>
        <w:gridCol w:w="2795"/>
        <w:gridCol w:w="1883"/>
        <w:gridCol w:w="1985"/>
      </w:tblGrid>
      <w:tr w:rsidR="00E10D58" w:rsidTr="00E10D58">
        <w:trPr>
          <w:trHeight w:val="429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Прогнозируемое</w:t>
            </w:r>
          </w:p>
        </w:tc>
      </w:tr>
      <w:tr w:rsidR="00E10D58" w:rsidTr="00E10D58">
        <w:trPr>
          <w:trHeight w:val="58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Амбулатория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чел</w:t>
            </w:r>
            <w:proofErr w:type="spellEnd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./</w:t>
            </w: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смена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</w:tbl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Прогнозирование развития учреждений культуры и спорта.</w:t>
      </w: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Основными задачами в сфере культуры являются: сохранение действующей сети учреждений; наращивание творческого потенциала профессиональных и самодеятельных коллективов; сохранение и развитие народного художественного творчества, народных промыслов и традиционной культуры; расширение экспозиционно-выставочных работ и научно-просветительской базы отрасли, повышение уровня и качества услуг, предоставляемых учреждениями культуры и искусства, и обеспечение их доступности для населения.</w:t>
      </w:r>
      <w:proofErr w:type="gramEnd"/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E10D58" w:rsidRDefault="00E10D58" w:rsidP="00E10D58">
      <w:pPr>
        <w:spacing w:after="200" w:line="60" w:lineRule="atLeast"/>
        <w:contextualSpacing/>
        <w:jc w:val="both"/>
        <w:rPr>
          <w:rFonts w:ascii="Times New Roman" w:hAnsi="Times New Roman"/>
          <w:sz w:val="26"/>
          <w:szCs w:val="26"/>
        </w:rPr>
      </w:pPr>
    </w:p>
    <w:p w:rsidR="00E10D58" w:rsidRDefault="00E10D58" w:rsidP="00E10D58">
      <w:pPr>
        <w:spacing w:after="200"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50" w:type="dxa"/>
        <w:tblInd w:w="-13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197"/>
        <w:gridCol w:w="2385"/>
        <w:gridCol w:w="1883"/>
        <w:gridCol w:w="1985"/>
      </w:tblGrid>
      <w:tr w:rsidR="00E10D58" w:rsidTr="00E10D58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Прогнозируемое</w:t>
            </w:r>
          </w:p>
        </w:tc>
      </w:tr>
      <w:tr w:rsidR="00E10D58" w:rsidTr="00E10D58">
        <w:trPr>
          <w:trHeight w:val="97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Обеспеченность:общедоступными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библиотеками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 </w:t>
            </w:r>
          </w:p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учреждений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</w:tr>
      <w:tr w:rsidR="00E10D58" w:rsidTr="00E10D58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учреждениями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культурно-досугового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типа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учреждений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highlight w:val="yellow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highlight w:val="yellow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E10D58" w:rsidTr="00E10D58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Количество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посещений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социокультурных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мероприятий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посещений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98</w:t>
            </w:r>
          </w:p>
        </w:tc>
      </w:tr>
      <w:tr w:rsidR="00E10D58" w:rsidTr="00E10D58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Количество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спортивных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сооружений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шт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</w:tr>
      <w:tr w:rsidR="00E10D58" w:rsidTr="00E10D58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Доля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граждан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систематически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занимающихся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физической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культурой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спортом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%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8" w:rsidRDefault="00E10D58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42</w:t>
            </w:r>
          </w:p>
        </w:tc>
      </w:tr>
    </w:tbl>
    <w:p w:rsidR="00E10D58" w:rsidRDefault="00E10D58" w:rsidP="00E10D58">
      <w:pPr>
        <w:spacing w:after="200" w:line="60" w:lineRule="atLeast"/>
        <w:ind w:firstLine="851"/>
        <w:contextualSpacing/>
        <w:jc w:val="center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</w:p>
    <w:p w:rsidR="00E10D58" w:rsidRDefault="00E10D58" w:rsidP="00E10D58">
      <w:pPr>
        <w:spacing w:after="200" w:line="6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E10D58" w:rsidRDefault="00E10D58" w:rsidP="00E10D58">
      <w:pPr>
        <w:widowControl w:val="0"/>
        <w:suppressAutoHyphens/>
        <w:autoSpaceDN w:val="0"/>
        <w:spacing w:before="280" w:after="280" w:line="240" w:lineRule="auto"/>
        <w:ind w:firstLine="851"/>
        <w:jc w:val="both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Социальная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-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это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сложный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комплекс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включающий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хозяйственно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обустроенную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различных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видов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общественной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жизни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людей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территорию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сферу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составе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систем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предоставления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сервисной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а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также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институционально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обеспеченную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систему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функционированием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развитием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ориентированной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безопасную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жизнедеятельность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населения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.</w:t>
      </w:r>
    </w:p>
    <w:p w:rsidR="00E10D58" w:rsidRDefault="00E10D58" w:rsidP="00E10D58">
      <w:pPr>
        <w:widowControl w:val="0"/>
        <w:suppressAutoHyphens/>
        <w:autoSpaceDN w:val="0"/>
        <w:spacing w:before="280" w:after="280" w:line="240" w:lineRule="auto"/>
        <w:ind w:firstLine="851"/>
        <w:jc w:val="both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Формирование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зависит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от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устанавливаемых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правил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градостроительства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активности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граждан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процессе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hyperlink r:id="rId5" w:history="1">
        <w:proofErr w:type="spellStart"/>
        <w:r>
          <w:rPr>
            <w:rStyle w:val="a3"/>
            <w:kern w:val="3"/>
            <w:sz w:val="24"/>
            <w:szCs w:val="24"/>
            <w:lang w:val="de-DE" w:eastAsia="ja-JP" w:bidi="fa-IR"/>
          </w:rPr>
          <w:t>публичных</w:t>
        </w:r>
        <w:proofErr w:type="spellEnd"/>
        <w:r>
          <w:rPr>
            <w:rStyle w:val="a3"/>
            <w:kern w:val="3"/>
            <w:sz w:val="24"/>
            <w:szCs w:val="24"/>
            <w:lang w:val="de-DE" w:eastAsia="ja-JP" w:bidi="fa-IR"/>
          </w:rPr>
          <w:t xml:space="preserve"> </w:t>
        </w:r>
        <w:proofErr w:type="spellStart"/>
        <w:r>
          <w:rPr>
            <w:rStyle w:val="a3"/>
            <w:kern w:val="3"/>
            <w:sz w:val="24"/>
            <w:szCs w:val="24"/>
            <w:lang w:val="de-DE" w:eastAsia="ja-JP" w:bidi="fa-IR"/>
          </w:rPr>
          <w:t>слушаний</w:t>
        </w:r>
        <w:proofErr w:type="spellEnd"/>
      </w:hyperlink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принятии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ОМСУ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или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решений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обустройству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Приоритетными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направлениями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развитием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элементов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соответственно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полномочиям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ОМСУ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того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или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иного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типа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являются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объектов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сферы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сервисной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улично-дорожной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сети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системы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информационного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обеспечения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объективизации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принимаемых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управленческих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решений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.</w:t>
      </w:r>
    </w:p>
    <w:p w:rsidR="00E10D58" w:rsidRDefault="00E10D58" w:rsidP="00E10D58">
      <w:pPr>
        <w:widowControl w:val="0"/>
        <w:suppressAutoHyphens/>
        <w:autoSpaceDN w:val="0"/>
        <w:spacing w:before="280" w:after="280" w:line="240" w:lineRule="auto"/>
        <w:ind w:firstLine="851"/>
        <w:jc w:val="both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ОМСУ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должны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поощрять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инициативы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развитию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исходящие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от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уполномоченных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организаций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отраслей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а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также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lastRenderedPageBreak/>
        <w:t>предпринимателей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занимающихся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сервисной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деятельностью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в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том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числе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путем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формирования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заказа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включая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разнообразные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механизмы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целевые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выделение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земли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под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строительство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льготы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аренде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помещений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др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Частно-государственное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партнерство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области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муниципальных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образований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пока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получило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активной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поддержки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стороны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бизнеса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общества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.</w:t>
      </w:r>
    </w:p>
    <w:p w:rsidR="00E10D58" w:rsidRDefault="00E10D58" w:rsidP="00E10D58">
      <w:pPr>
        <w:pStyle w:val="1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инфраструктуры, реализация которых предусмотрена по иным основаниям за счет внебюджетных источников.</w:t>
      </w:r>
    </w:p>
    <w:p w:rsidR="00E10D58" w:rsidRDefault="00E10D58" w:rsidP="00E10D58">
      <w:pPr>
        <w:pStyle w:val="1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Существенными источниками инвестиций могут стать частные сбережения, средства профсоюзных и общественных организаций, направляемых на культурное и бытовое обслуживание населения, благотворительные фонды и спонсорство.</w:t>
      </w:r>
    </w:p>
    <w:p w:rsidR="00E10D58" w:rsidRDefault="00E10D58" w:rsidP="00E10D58">
      <w:pPr>
        <w:spacing w:after="200" w:line="60" w:lineRule="atLeast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3.Оценка объемов и источников финансирования</w:t>
      </w:r>
    </w:p>
    <w:p w:rsidR="00E10D58" w:rsidRDefault="00E10D58" w:rsidP="00E10D58">
      <w:pPr>
        <w:spacing w:after="200" w:line="60" w:lineRule="atLeast"/>
        <w:ind w:firstLine="1211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10D58" w:rsidRDefault="00E10D58" w:rsidP="00E10D58">
      <w:pPr>
        <w:pStyle w:val="1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предусмотренных программных мероприятий планируется за счет субсидий Республиканского бюджета </w:t>
      </w:r>
      <w:proofErr w:type="spellStart"/>
      <w:r>
        <w:rPr>
          <w:rFonts w:ascii="Times New Roman" w:hAnsi="Times New Roman"/>
          <w:sz w:val="24"/>
          <w:szCs w:val="24"/>
        </w:rPr>
        <w:t>Аксубаевскому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муниципальному району  в размере  100 % от суммы общего финансирования.</w:t>
      </w:r>
    </w:p>
    <w:p w:rsidR="00E10D58" w:rsidRDefault="00E10D58" w:rsidP="00E10D5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Программы за счет средств  Республиканского бюджета осуществляется в рамках ассигнований, предусматриваемых законом о бюджете на очередной финансовый год и плановый период по соответствующим отраслям.</w:t>
      </w:r>
    </w:p>
    <w:p w:rsidR="00E10D58" w:rsidRDefault="00E10D58" w:rsidP="00E10D5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0D58" w:rsidRDefault="00E10D58" w:rsidP="00E10D58">
      <w:pPr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Таблица №1 Целевые показатели Программы </w:t>
      </w:r>
    </w:p>
    <w:p w:rsidR="00E10D58" w:rsidRDefault="00E10D58" w:rsidP="00E10D58">
      <w:pPr>
        <w:spacing w:after="12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7"/>
        <w:gridCol w:w="2936"/>
        <w:gridCol w:w="966"/>
        <w:gridCol w:w="993"/>
        <w:gridCol w:w="708"/>
        <w:gridCol w:w="709"/>
        <w:gridCol w:w="709"/>
        <w:gridCol w:w="709"/>
        <w:gridCol w:w="708"/>
        <w:gridCol w:w="1425"/>
      </w:tblGrid>
      <w:tr w:rsidR="00E10D58" w:rsidTr="00E10D58">
        <w:trPr>
          <w:trHeight w:val="43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целевых показателей программы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ind w:left="-108" w:right="-1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Значение целевого показателя по годам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2022-2035гг</w:t>
            </w:r>
          </w:p>
        </w:tc>
      </w:tr>
      <w:tr w:rsidR="00E10D58" w:rsidTr="00E10D58">
        <w:trPr>
          <w:trHeight w:val="127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D58" w:rsidTr="00E10D58">
        <w:trPr>
          <w:trHeight w:val="8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амбулатории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58" w:rsidRDefault="00E10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0D58" w:rsidTr="00E10D58">
        <w:trPr>
          <w:trHeight w:val="1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сельского дома культуры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Ибрайкино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объект</w:t>
            </w:r>
          </w:p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58" w:rsidRDefault="00E10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0D58" w:rsidTr="00E10D58">
        <w:trPr>
          <w:trHeight w:val="1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Водопровод в 4-х улиц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Ибрайкино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58" w:rsidRDefault="00E10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10D58" w:rsidTr="00E10D58">
        <w:trPr>
          <w:trHeight w:val="1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МБОУ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Староибрайкинская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58" w:rsidRDefault="00E10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10D58" w:rsidRDefault="00E10D58" w:rsidP="00E10D58">
      <w:pPr>
        <w:spacing w:after="200" w:line="60" w:lineRule="atLeast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10D58" w:rsidRDefault="00E10D58" w:rsidP="00E10D58">
      <w:pPr>
        <w:spacing w:after="200" w:line="60" w:lineRule="atLeast"/>
        <w:ind w:firstLine="1211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10D58" w:rsidRDefault="00E10D58" w:rsidP="00E10D58">
      <w:pPr>
        <w:spacing w:after="200" w:line="60" w:lineRule="atLeast"/>
        <w:ind w:firstLine="1211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10D58" w:rsidRDefault="00E10D58" w:rsidP="00E10D58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МЕРОПРИЯТИЯ ПРОГРАММЫ</w:t>
      </w:r>
    </w:p>
    <w:p w:rsidR="00E10D58" w:rsidRDefault="00E10D58" w:rsidP="00E10D58">
      <w:pPr>
        <w:spacing w:after="120"/>
        <w:ind w:firstLine="709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</w:rPr>
        <w:t>Таблица  - Мероприятия Программы (оценка финансовых потребностей и источники финансирования</w:t>
      </w:r>
      <w:proofErr w:type="gramEnd"/>
    </w:p>
    <w:tbl>
      <w:tblPr>
        <w:tblW w:w="9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1"/>
        <w:gridCol w:w="1419"/>
        <w:gridCol w:w="1415"/>
        <w:gridCol w:w="850"/>
        <w:gridCol w:w="992"/>
        <w:gridCol w:w="709"/>
        <w:gridCol w:w="708"/>
        <w:gridCol w:w="851"/>
      </w:tblGrid>
      <w:tr w:rsidR="00E10D58" w:rsidTr="00E10D58">
        <w:trPr>
          <w:trHeight w:val="315"/>
          <w:tblHeader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выполнения, тыс. руб.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потребности на  реализацию мероприятий,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E10D58" w:rsidTr="00E10D58">
        <w:trPr>
          <w:trHeight w:val="315"/>
          <w:tblHeader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2022-2035</w:t>
            </w:r>
          </w:p>
        </w:tc>
      </w:tr>
      <w:tr w:rsidR="00E10D58" w:rsidTr="00E10D58">
        <w:trPr>
          <w:trHeight w:val="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амбулатории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Консолидированный Бюджет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0D58" w:rsidTr="00E10D58">
        <w:trPr>
          <w:trHeight w:val="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сельского дома культуры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Ибрайкино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0D58" w:rsidTr="00E10D58">
        <w:trPr>
          <w:trHeight w:val="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Водопровод в 4-х улиц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Ибрайкино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6050</w:t>
            </w:r>
          </w:p>
        </w:tc>
      </w:tr>
      <w:tr w:rsidR="00E10D58" w:rsidTr="00E10D58">
        <w:trPr>
          <w:trHeight w:val="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МБОУ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Староибрайкинская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D58" w:rsidRDefault="00E10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10D58" w:rsidRDefault="00E10D58" w:rsidP="00E10D58">
      <w:pPr>
        <w:spacing w:after="200" w:line="60" w:lineRule="atLeast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10D58" w:rsidRDefault="00E10D58" w:rsidP="00E10D58">
      <w:pPr>
        <w:spacing w:after="200" w:line="60" w:lineRule="atLeast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4.Оценка эффективности мероприятий Программы.</w:t>
      </w:r>
    </w:p>
    <w:p w:rsidR="00E10D58" w:rsidRDefault="00E10D58" w:rsidP="00E10D58">
      <w:pPr>
        <w:spacing w:after="200" w:line="60" w:lineRule="atLeast"/>
        <w:ind w:firstLine="1211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10D58" w:rsidRDefault="00E10D58" w:rsidP="00E10D58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комплексного развития предусматривает выполнение комплекса мероприятий, которые обеспечат положительный эффект в развитии социальной инфраструктуры Поселения. При развитой социальной инфраструктуре муниципальное образование является привлекательным для ведения бизнеса. В этом случае реализация предлагаемой программы определяет наличие основных положительных эффектов: бюджетного, коммерческого, социального.</w:t>
      </w:r>
    </w:p>
    <w:p w:rsidR="00E10D58" w:rsidRDefault="00E10D58" w:rsidP="00E10D58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Коммерческий эффект - развитие малого и среднего бизнеса, развитие деловой инфраструктуры, повышение делового имиджа.</w:t>
      </w:r>
    </w:p>
    <w:p w:rsidR="00E10D58" w:rsidRDefault="00E10D58" w:rsidP="00E10D58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Бюджетный эффект - развитие предприятий приведет к увеличению бюджетных поступлений.</w:t>
      </w:r>
    </w:p>
    <w:p w:rsidR="00E10D58" w:rsidRDefault="00E10D58" w:rsidP="00E10D58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эффект - создание новых рабочих мест, увеличение жилищного фонда, повышение качества коммунальных услуг.</w:t>
      </w:r>
    </w:p>
    <w:p w:rsidR="00E10D58" w:rsidRDefault="00E10D58" w:rsidP="00E10D58">
      <w:pPr>
        <w:spacing w:after="200" w:line="60" w:lineRule="atLeast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10D58" w:rsidRDefault="00E10D58" w:rsidP="00E10D58">
      <w:pPr>
        <w:spacing w:after="200" w:line="60" w:lineRule="atLeast"/>
        <w:ind w:firstLine="1211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10D58" w:rsidRDefault="00E10D58" w:rsidP="00E10D58">
      <w:pPr>
        <w:spacing w:after="200" w:line="60" w:lineRule="atLeast"/>
        <w:ind w:firstLine="1211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5.Предложения по совершенствованию нормативно-правового и информационного обеспечения деятельности в сфере проектирования, строительства и реконструкции объектов социальной инфраструктуры поселения.</w:t>
      </w:r>
    </w:p>
    <w:p w:rsidR="00E10D58" w:rsidRDefault="00E10D58" w:rsidP="00E10D58">
      <w:pPr>
        <w:spacing w:after="200" w:line="60" w:lineRule="atLeast"/>
        <w:ind w:firstLine="1211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10D58" w:rsidRDefault="00E10D58" w:rsidP="00E10D58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 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Программа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комплексного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eastAsia="ja-JP" w:bidi="fa-IR"/>
        </w:rPr>
        <w:t>Староибрайкинского</w:t>
      </w:r>
      <w:proofErr w:type="spellEnd"/>
      <w:r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 сельского</w:t>
      </w:r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2017-20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>35</w:t>
      </w:r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гг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. 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представлена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виде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совокупности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конкретных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мероприятий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ожидаемых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результатов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сгруппированных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обозначенным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выше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системным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признакам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направленных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достижение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основных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социально-экономических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целей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основе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эффективного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использования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имеющихся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ресурсов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потенциала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.</w:t>
      </w: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Переход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управлению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сельским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поселением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через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интересы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благосостояния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населения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интересы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стабильности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наполненные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конкретным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содержанием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выраженные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в 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форме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программных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мероприятий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позволяет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обеспечить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социально-экономическое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как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отдельных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сел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так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целом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.</w:t>
      </w:r>
    </w:p>
    <w:p w:rsidR="00E10D58" w:rsidRDefault="00E10D58" w:rsidP="00E10D58">
      <w:pPr>
        <w:widowControl w:val="0"/>
        <w:suppressAutoHyphens/>
        <w:autoSpaceDN w:val="0"/>
        <w:spacing w:after="0" w:line="240" w:lineRule="auto"/>
        <w:ind w:firstLine="540"/>
        <w:jc w:val="both"/>
        <w:rPr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Разработка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принятие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среднесрочной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сельского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позволяет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закрепить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приоритеты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финансовой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инвестиционной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политики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определить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последовательность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сроки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решения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накопившихся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многие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годы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проблем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. А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целевые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установки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создаваемые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её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реализации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механизмы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закрепляющие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игры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»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>П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оселения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позволят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значительно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повысить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деловую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активность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управленческих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предпринимательских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кадров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сельского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создать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необходимые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условия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активизации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хозяйственной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его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.</w:t>
      </w:r>
    </w:p>
    <w:p w:rsidR="00E10D58" w:rsidRDefault="00E10D58" w:rsidP="00E10D58">
      <w:pPr>
        <w:rPr>
          <w:lang w:val="de-DE"/>
        </w:rPr>
      </w:pPr>
    </w:p>
    <w:p w:rsidR="00E10D58" w:rsidRDefault="00E10D58" w:rsidP="00E10D58">
      <w:pPr>
        <w:rPr>
          <w:lang w:val="de-DE"/>
        </w:rPr>
      </w:pPr>
    </w:p>
    <w:p w:rsidR="00415D95" w:rsidRPr="00E10D58" w:rsidRDefault="00415D95">
      <w:pPr>
        <w:rPr>
          <w:lang w:val="de-DE"/>
        </w:rPr>
      </w:pPr>
    </w:p>
    <w:sectPr w:rsidR="00415D95" w:rsidRPr="00E10D58" w:rsidSect="0041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0D58"/>
    <w:rsid w:val="00415D95"/>
    <w:rsid w:val="00E1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58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10D5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E10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E10D58"/>
    <w:pPr>
      <w:ind w:left="720"/>
      <w:contextualSpacing/>
    </w:pPr>
  </w:style>
  <w:style w:type="paragraph" w:customStyle="1" w:styleId="a5">
    <w:name w:val="Основной"/>
    <w:basedOn w:val="a6"/>
    <w:rsid w:val="00E10D58"/>
  </w:style>
  <w:style w:type="paragraph" w:customStyle="1" w:styleId="2">
    <w:name w:val="Абзац списка2"/>
    <w:basedOn w:val="a"/>
    <w:semiHidden/>
    <w:rsid w:val="00E10D58"/>
    <w:pPr>
      <w:spacing w:after="200" w:line="276" w:lineRule="auto"/>
      <w:ind w:left="720"/>
    </w:pPr>
    <w:rPr>
      <w:rFonts w:eastAsia="Calibri" w:cs="Calibri"/>
    </w:rPr>
  </w:style>
  <w:style w:type="numbering" w:customStyle="1" w:styleId="WW8Num1">
    <w:name w:val="WW8Num1"/>
    <w:rsid w:val="00E10D58"/>
    <w:pPr>
      <w:numPr>
        <w:numId w:val="2"/>
      </w:numPr>
    </w:pPr>
  </w:style>
  <w:style w:type="paragraph" w:styleId="a6">
    <w:name w:val="Body Text Indent"/>
    <w:basedOn w:val="a"/>
    <w:link w:val="a7"/>
    <w:uiPriority w:val="99"/>
    <w:semiHidden/>
    <w:unhideWhenUsed/>
    <w:rsid w:val="00E10D5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10D5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ublichnie_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2339</Words>
  <Characters>13334</Characters>
  <Application>Microsoft Office Word</Application>
  <DocSecurity>0</DocSecurity>
  <Lines>111</Lines>
  <Paragraphs>31</Paragraphs>
  <ScaleCrop>false</ScaleCrop>
  <Company>Reanimator Extreme Edition</Company>
  <LinksUpToDate>false</LinksUpToDate>
  <CharactersWithSpaces>15642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2019-02-22T11:41:00Z</dcterms:created>
  <dcterms:modified xsi:type="dcterms:W3CDTF">2019-02-22T11:42:00Z</dcterms:modified>
</cp:coreProperties>
</file>