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8B8" w:rsidRPr="006E78B8" w:rsidRDefault="006E78B8" w:rsidP="006E78B8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8B8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6E78B8" w:rsidRPr="006E78B8" w:rsidRDefault="006E78B8" w:rsidP="006E7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8B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6E78B8" w:rsidRPr="006E78B8" w:rsidRDefault="006E78B8" w:rsidP="006E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8B8" w:rsidRPr="006E78B8" w:rsidRDefault="006E78B8" w:rsidP="006E7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8B8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 w:rsidRPr="006E78B8"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6E78B8" w:rsidRPr="006E78B8" w:rsidRDefault="006E78B8" w:rsidP="006E78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5620C" w:rsidRPr="006E78B8" w:rsidRDefault="006E78B8" w:rsidP="006E78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E78B8">
        <w:rPr>
          <w:rFonts w:ascii="Times New Roman" w:hAnsi="Times New Roman" w:cs="Times New Roman"/>
          <w:sz w:val="24"/>
          <w:szCs w:val="24"/>
        </w:rPr>
        <w:t>о</w:t>
      </w:r>
      <w:r w:rsidRPr="006E78B8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78B8">
        <w:rPr>
          <w:rFonts w:ascii="Times New Roman" w:hAnsi="Times New Roman" w:cs="Times New Roman"/>
          <w:sz w:val="24"/>
          <w:szCs w:val="24"/>
        </w:rPr>
        <w:t xml:space="preserve">2019       </w:t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</w:r>
      <w:r w:rsidRPr="006E78B8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B5620C" w:rsidRDefault="00B5620C" w:rsidP="00C22459">
      <w:pPr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620C" w:rsidRDefault="00B5620C" w:rsidP="00C22459">
      <w:pPr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2E09" w:rsidRDefault="00C22459" w:rsidP="00B5620C">
      <w:pPr>
        <w:spacing w:after="0" w:line="240" w:lineRule="auto"/>
        <w:ind w:right="32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620C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4D5F1A" w:rsidRPr="00B5620C">
        <w:rPr>
          <w:rFonts w:ascii="Times New Roman" w:hAnsi="Times New Roman" w:cs="Times New Roman"/>
          <w:sz w:val="28"/>
          <w:szCs w:val="28"/>
        </w:rPr>
        <w:t>по выдаче разрешения на строительство</w:t>
      </w:r>
      <w:r w:rsidRPr="00B5620C">
        <w:rPr>
          <w:rFonts w:ascii="Times New Roman" w:hAnsi="Times New Roman" w:cs="Times New Roman"/>
          <w:sz w:val="28"/>
          <w:szCs w:val="28"/>
        </w:rPr>
        <w:t>,</w:t>
      </w:r>
      <w:r w:rsidR="00EA5378" w:rsidRPr="00B5620C">
        <w:rPr>
          <w:rFonts w:ascii="Times New Roman" w:hAnsi="Times New Roman" w:cs="Times New Roman"/>
          <w:sz w:val="28"/>
          <w:szCs w:val="28"/>
        </w:rPr>
        <w:t xml:space="preserve"> реконструкцию объектов капитального строительства</w:t>
      </w:r>
      <w:r w:rsidR="00B5620C">
        <w:rPr>
          <w:rFonts w:ascii="Times New Roman" w:hAnsi="Times New Roman" w:cs="Times New Roman"/>
          <w:sz w:val="28"/>
          <w:szCs w:val="28"/>
        </w:rPr>
        <w:t>,</w:t>
      </w:r>
      <w:r w:rsidRPr="00B5620C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Исполнитель</w:t>
      </w:r>
      <w:r w:rsidR="007325BD" w:rsidRPr="00B5620C">
        <w:rPr>
          <w:rFonts w:ascii="Times New Roman" w:hAnsi="Times New Roman" w:cs="Times New Roman"/>
          <w:sz w:val="28"/>
          <w:szCs w:val="28"/>
        </w:rPr>
        <w:t>ного комитета Аксубаевского</w:t>
      </w:r>
      <w:r w:rsidRPr="00B562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</w:t>
      </w:r>
      <w:r w:rsidR="00EA5378" w:rsidRPr="00B5620C">
        <w:rPr>
          <w:rFonts w:ascii="Times New Roman" w:hAnsi="Times New Roman" w:cs="Times New Roman"/>
          <w:sz w:val="28"/>
          <w:szCs w:val="28"/>
        </w:rPr>
        <w:t xml:space="preserve">ки Татарстан от 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25.12.2018 № 729</w:t>
      </w:r>
      <w:r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административных регламентов предоставления муниципальных услуг»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постановлени</w:t>
      </w:r>
      <w:r w:rsidR="00B5620C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24.06.2019 №</w:t>
      </w:r>
      <w:r w:rsidR="00B5620C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428</w:t>
      </w:r>
      <w:r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bookmarkEnd w:id="0"/>
    <w:p w:rsidR="00B5620C" w:rsidRPr="00B5620C" w:rsidRDefault="00B5620C" w:rsidP="00B5620C">
      <w:pPr>
        <w:spacing w:after="0" w:line="240" w:lineRule="auto"/>
        <w:ind w:right="32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459" w:rsidRPr="00B5620C" w:rsidRDefault="00C22459" w:rsidP="00B5620C">
      <w:pPr>
        <w:spacing w:after="0" w:line="240" w:lineRule="auto"/>
        <w:ind w:right="425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13B" w:rsidRPr="00B5620C" w:rsidRDefault="00AE57FA" w:rsidP="00B562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от 04.07.2017 №788 «О направлении документов, необходимых для выдачи разрешения на строительство</w:t>
      </w:r>
      <w:r w:rsidR="00EA5378" w:rsidRPr="00B5620C">
        <w:rPr>
          <w:rFonts w:ascii="Times New Roman" w:hAnsi="Times New Roman" w:cs="Times New Roman"/>
          <w:sz w:val="28"/>
          <w:szCs w:val="28"/>
        </w:rPr>
        <w:t>, реконструкцию объектов капитального строительства</w:t>
      </w:r>
      <w:r w:rsidRPr="00B5620C">
        <w:rPr>
          <w:rFonts w:ascii="Times New Roman" w:hAnsi="Times New Roman" w:cs="Times New Roman"/>
          <w:sz w:val="28"/>
          <w:szCs w:val="28"/>
        </w:rPr>
        <w:t xml:space="preserve"> и разрешения на ввод в эксплуатацию, в электронной форме», постановления Кабинета Министров Республики Татарстан от 27.09.2017 №729 «О направлении документов, необходимых для выдачи разрешения на строительство и разрешения на ввод в эксплуатацию, в электронной форме», </w:t>
      </w:r>
      <w:r w:rsidR="007325BD" w:rsidRPr="00B5620C">
        <w:rPr>
          <w:rFonts w:ascii="Times New Roman" w:hAnsi="Times New Roman" w:cs="Times New Roman"/>
          <w:sz w:val="28"/>
          <w:szCs w:val="28"/>
        </w:rPr>
        <w:t>Исполнительный комитет Аксубаевского</w:t>
      </w:r>
      <w:r w:rsidR="00C22459" w:rsidRPr="00B562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22459" w:rsidRPr="00B5620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22459" w:rsidRPr="00B5620C" w:rsidRDefault="00C22459" w:rsidP="00B562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="004D5F1A" w:rsidRPr="00B5620C">
        <w:rPr>
          <w:rFonts w:ascii="Times New Roman" w:hAnsi="Times New Roman" w:cs="Times New Roman"/>
          <w:sz w:val="28"/>
          <w:szCs w:val="28"/>
        </w:rPr>
        <w:t>по выдаче разрешения на строительство</w:t>
      </w:r>
      <w:r w:rsidRPr="00B5620C">
        <w:rPr>
          <w:rFonts w:ascii="Times New Roman" w:hAnsi="Times New Roman" w:cs="Times New Roman"/>
          <w:sz w:val="28"/>
          <w:szCs w:val="28"/>
        </w:rPr>
        <w:t>,</w:t>
      </w:r>
      <w:r w:rsidR="007325BD" w:rsidRPr="00B5620C">
        <w:rPr>
          <w:rFonts w:ascii="Times New Roman" w:hAnsi="Times New Roman" w:cs="Times New Roman"/>
          <w:sz w:val="28"/>
          <w:szCs w:val="28"/>
        </w:rPr>
        <w:t xml:space="preserve"> реконструкцию объектов капитального строительства</w:t>
      </w:r>
      <w:r w:rsidR="00B5620C">
        <w:rPr>
          <w:rFonts w:ascii="Times New Roman" w:hAnsi="Times New Roman" w:cs="Times New Roman"/>
          <w:sz w:val="28"/>
          <w:szCs w:val="28"/>
        </w:rPr>
        <w:t>,</w:t>
      </w:r>
      <w:r w:rsidRPr="00B5620C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Исполнит</w:t>
      </w:r>
      <w:r w:rsidR="007325BD" w:rsidRPr="00B5620C">
        <w:rPr>
          <w:rFonts w:ascii="Times New Roman" w:hAnsi="Times New Roman" w:cs="Times New Roman"/>
          <w:sz w:val="28"/>
          <w:szCs w:val="28"/>
        </w:rPr>
        <w:t>ельного комитета Аксубаевского</w:t>
      </w:r>
      <w:r w:rsidRPr="00B5620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25.12.2018 № 729 </w:t>
      </w:r>
      <w:r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административных регламентов предоставления муниципальных </w:t>
      </w:r>
      <w:r w:rsidR="00B5620C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услуг» (в редакции постановления</w:t>
      </w:r>
      <w:r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24.06.2019 №</w:t>
      </w:r>
      <w:r w:rsidR="00B5620C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5378"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>428</w:t>
      </w:r>
      <w:r w:rsidRPr="006E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5620C">
        <w:rPr>
          <w:rFonts w:ascii="Times New Roman" w:hAnsi="Times New Roman" w:cs="Times New Roman"/>
          <w:sz w:val="28"/>
          <w:szCs w:val="28"/>
        </w:rPr>
        <w:t>следующ</w:t>
      </w:r>
      <w:r w:rsidR="0004113F" w:rsidRPr="00B5620C">
        <w:rPr>
          <w:rFonts w:ascii="Times New Roman" w:hAnsi="Times New Roman" w:cs="Times New Roman"/>
          <w:sz w:val="28"/>
          <w:szCs w:val="28"/>
        </w:rPr>
        <w:t>и</w:t>
      </w:r>
      <w:r w:rsidRPr="00B5620C">
        <w:rPr>
          <w:rFonts w:ascii="Times New Roman" w:hAnsi="Times New Roman" w:cs="Times New Roman"/>
          <w:sz w:val="28"/>
          <w:szCs w:val="28"/>
        </w:rPr>
        <w:t>е изменени</w:t>
      </w:r>
      <w:r w:rsidR="0004113F" w:rsidRPr="00B5620C">
        <w:rPr>
          <w:rFonts w:ascii="Times New Roman" w:hAnsi="Times New Roman" w:cs="Times New Roman"/>
          <w:sz w:val="28"/>
          <w:szCs w:val="28"/>
        </w:rPr>
        <w:t>я</w:t>
      </w:r>
      <w:r w:rsidRPr="00B5620C">
        <w:rPr>
          <w:rFonts w:ascii="Times New Roman" w:hAnsi="Times New Roman" w:cs="Times New Roman"/>
          <w:sz w:val="28"/>
          <w:szCs w:val="28"/>
        </w:rPr>
        <w:t>:</w:t>
      </w:r>
    </w:p>
    <w:p w:rsidR="0004113F" w:rsidRPr="00B5620C" w:rsidRDefault="00B5620C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изложить в новой</w:t>
      </w:r>
      <w:r w:rsidR="0004113F" w:rsidRPr="00B5620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095"/>
        <w:gridCol w:w="1843"/>
      </w:tblGrid>
      <w:tr w:rsidR="0004113F" w:rsidRPr="00B5620C" w:rsidTr="0004113F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13F" w:rsidRPr="00B5620C" w:rsidRDefault="0004113F" w:rsidP="00B5620C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 Описание результата предоставления </w:t>
            </w: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1.Разрешение на строительство (приложение №2).</w:t>
            </w:r>
          </w:p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2.Разрешение на строительство с продленным сроком действия.</w:t>
            </w:r>
          </w:p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3.Разрешение на строительство с внесенными изменениями.</w:t>
            </w:r>
          </w:p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4.Выдача повторного экземпляра (дубликата) разрешения на строительство.</w:t>
            </w:r>
          </w:p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5.Письмо об отказе в предоставлении услуги</w:t>
            </w:r>
          </w:p>
          <w:p w:rsidR="0004113F" w:rsidRPr="00B5620C" w:rsidRDefault="0004113F" w:rsidP="00B5620C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 через Портал государственных и муниципальных услуг Республики Татарстан uslugi.tatarstan.ru результат муниципальной услуги предоставляется в электронной форме.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13F" w:rsidRPr="00B5620C" w:rsidRDefault="0004113F" w:rsidP="00B5620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ч.1, 20, 21.14 ст. 51 </w:t>
            </w:r>
            <w:proofErr w:type="spell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04113F" w:rsidRPr="00B5620C" w:rsidRDefault="0004113F" w:rsidP="00B5620C">
            <w:pPr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tbl>
      <w:tblPr>
        <w:tblStyle w:val="a6"/>
        <w:tblW w:w="10137" w:type="dxa"/>
        <w:tblLook w:val="04A0" w:firstRow="1" w:lastRow="0" w:firstColumn="1" w:lastColumn="0" w:noHBand="0" w:noVBand="1"/>
      </w:tblPr>
      <w:tblGrid>
        <w:gridCol w:w="3153"/>
        <w:gridCol w:w="4314"/>
        <w:gridCol w:w="2670"/>
      </w:tblGrid>
      <w:tr w:rsidR="00F80C33" w:rsidRPr="00B5620C" w:rsidTr="00F80C33">
        <w:tc>
          <w:tcPr>
            <w:tcW w:w="3153" w:type="dxa"/>
          </w:tcPr>
          <w:p w:rsidR="00F80C33" w:rsidRPr="00B5620C" w:rsidRDefault="00F80C33" w:rsidP="00B5620C">
            <w:pPr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2.5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4314" w:type="dxa"/>
          </w:tcPr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целях строительства, реконструкции объекта капитального строительства (в том числе объекта культурного наследия, а также в случае строительства или реконструкции объекта капитального строительства планируется в границах территории исторического поселения федерального или регионального значения) застройщиком предоставляются:</w:t>
            </w:r>
            <w:r w:rsidRPr="00B5620C">
              <w:rPr>
                <w:sz w:val="28"/>
                <w:szCs w:val="28"/>
              </w:rPr>
              <w:br/>
              <w:t>1) заявление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- в форме документа на бумажном носителе;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- в электронной форме (исключение: лица, действующие от имени заявителя), подписанный (заверенный) в соответствии с требованиями Федерального закона №63-ФЗ и Федерального закона №210-ФЗ простой электронной подписью, через Портал государственных и муниципальных услуг Республики Татарстан uslugi.tatarstan.ru;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2) документ, удостоверяющий личность заявителя или его реквизиты, полученные из ЕСИА </w:t>
            </w:r>
            <w:r w:rsidRPr="00B5620C">
              <w:rPr>
                <w:sz w:val="28"/>
                <w:szCs w:val="28"/>
              </w:rPr>
              <w:lastRenderedPageBreak/>
              <w:t>не ниже стандартной учетной записи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3) документ, подтверждающий полномочия представителя заявителя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 или их скан-копии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5)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B5620C">
              <w:rPr>
                <w:sz w:val="28"/>
                <w:szCs w:val="28"/>
              </w:rPr>
              <w:t>Росатом</w:t>
            </w:r>
            <w:proofErr w:type="spellEnd"/>
            <w:r w:rsidRPr="00B5620C">
              <w:rPr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Pr="00B5620C">
              <w:rPr>
                <w:sz w:val="28"/>
                <w:szCs w:val="28"/>
              </w:rPr>
              <w:t>Роскосмос</w:t>
            </w:r>
            <w:proofErr w:type="spellEnd"/>
            <w:r w:rsidRPr="00B5620C">
              <w:rPr>
                <w:sz w:val="28"/>
                <w:szCs w:val="28"/>
              </w:rPr>
              <w:t>", органом управления государственным внебюджетным фондом или органом местного самоуправления, полномочий государственного (муниципального) заказчика, заключенного при осуществлении бюджетных инвестиций (при наличии)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6) правоустанавливающие документы на земельный участок правообладателя, с которым заключено указанное соглашение или их скан-копии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7) </w:t>
            </w:r>
            <w:r w:rsidR="006443A8" w:rsidRPr="00B5620C">
              <w:rPr>
                <w:sz w:val="28"/>
                <w:szCs w:val="28"/>
              </w:rPr>
              <w:t xml:space="preserve">результаты инженерных изысканий и следующие материалы, содержащиеся в </w:t>
            </w:r>
            <w:r w:rsidR="006443A8" w:rsidRPr="00B5620C">
              <w:rPr>
                <w:sz w:val="28"/>
                <w:szCs w:val="28"/>
              </w:rPr>
              <w:lastRenderedPageBreak/>
              <w:t xml:space="preserve">утвержденной в соответствии </w:t>
            </w:r>
            <w:r w:rsidRPr="00B5620C">
              <w:rPr>
                <w:color w:val="000000" w:themeColor="text1"/>
                <w:sz w:val="28"/>
                <w:szCs w:val="28"/>
              </w:rPr>
              <w:t>проектной</w:t>
            </w:r>
            <w:r w:rsidRPr="00B5620C">
              <w:rPr>
                <w:color w:val="FF0000"/>
                <w:sz w:val="28"/>
                <w:szCs w:val="28"/>
              </w:rPr>
              <w:t xml:space="preserve"> </w:t>
            </w:r>
            <w:r w:rsidRPr="00B5620C">
              <w:rPr>
                <w:sz w:val="28"/>
                <w:szCs w:val="28"/>
              </w:rPr>
              <w:t>документации:</w:t>
            </w:r>
            <w:r w:rsidRPr="00B5620C">
              <w:rPr>
                <w:sz w:val="28"/>
                <w:szCs w:val="28"/>
              </w:rPr>
              <w:br/>
              <w:t>а) пояснительная записка или ее скан-копия (при заполнении электронной формы);</w:t>
            </w:r>
            <w:r w:rsidRPr="00B5620C">
              <w:rPr>
                <w:sz w:val="28"/>
                <w:szCs w:val="28"/>
              </w:rPr>
              <w:br/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или ее скан-копия (при заполнении электронной формы); </w:t>
            </w:r>
            <w:r w:rsidRPr="00B5620C">
              <w:rPr>
                <w:sz w:val="28"/>
                <w:szCs w:val="28"/>
              </w:rPr>
              <w:br/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или ее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г) архитектурные решения или их скан-копии (при заполнении электронной формы;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 или их скан-копии (при заполнении электронной формы;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е) проект организации строительства объекта </w:t>
            </w:r>
            <w:r w:rsidRPr="00B5620C">
              <w:rPr>
                <w:sz w:val="28"/>
                <w:szCs w:val="28"/>
              </w:rPr>
              <w:lastRenderedPageBreak/>
              <w:t>капитального строительства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</w:t>
            </w:r>
            <w:r w:rsidR="00CB711A" w:rsidRPr="00B5620C">
              <w:rPr>
                <w:sz w:val="28"/>
                <w:szCs w:val="28"/>
              </w:rPr>
              <w:t xml:space="preserve"> в случае необходимости сноса </w:t>
            </w:r>
            <w:proofErr w:type="gramStart"/>
            <w:r w:rsidR="00CB711A" w:rsidRPr="00B5620C">
              <w:rPr>
                <w:sz w:val="28"/>
                <w:szCs w:val="28"/>
              </w:rPr>
              <w:t>объектов  капитального</w:t>
            </w:r>
            <w:proofErr w:type="gramEnd"/>
            <w:r w:rsidR="00CB711A" w:rsidRPr="00B5620C">
              <w:rPr>
                <w:sz w:val="28"/>
                <w:szCs w:val="28"/>
              </w:rPr>
              <w:t xml:space="preserve"> строительства, их частей для строительства, реконструкции  других объектов капитального строительства</w:t>
            </w:r>
            <w:r w:rsidRPr="00B5620C">
              <w:rPr>
                <w:sz w:val="28"/>
                <w:szCs w:val="28"/>
              </w:rPr>
              <w:t xml:space="preserve">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8)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РФ), если такая проектная документация </w:t>
            </w:r>
            <w:r w:rsidRPr="00B5620C">
              <w:rPr>
                <w:sz w:val="28"/>
                <w:szCs w:val="28"/>
              </w:rPr>
              <w:lastRenderedPageBreak/>
              <w:t xml:space="preserve">подлежит экспертизе в соответствии со статьей 49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9) положительное заключение государственной экспертизы проектной документации в случаях, предусмотренных частью 3.4 статьи 49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 или его скан-копия (при заполнении электронной формы) с указанием реквизитов заключения;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10)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 или его скан-копия (при заполнении электронной формы) с указанием реквизитов заключения;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11) заключение, предусмотренное частью 3.5 статьи 49 настоящего Кодекса, в случае использования модифицированной проектной документации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12) согласие всех правообладателей объекта капитального строительства в случае реконструкции такого объекта, за исключением указанных в подпункте 9 настоящего пункта случаев реконструкции многоквартирного дома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13) соглашение о проведении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</w:t>
            </w:r>
            <w:r w:rsidRPr="00B5620C">
              <w:rPr>
                <w:sz w:val="28"/>
                <w:szCs w:val="28"/>
              </w:rPr>
              <w:lastRenderedPageBreak/>
              <w:t>атомной энергии "</w:t>
            </w:r>
            <w:proofErr w:type="spellStart"/>
            <w:r w:rsidRPr="00B5620C">
              <w:rPr>
                <w:sz w:val="28"/>
                <w:szCs w:val="28"/>
              </w:rPr>
              <w:t>Росатом</w:t>
            </w:r>
            <w:proofErr w:type="spellEnd"/>
            <w:r w:rsidRPr="00B5620C">
              <w:rPr>
                <w:sz w:val="28"/>
                <w:szCs w:val="28"/>
              </w:rPr>
              <w:t>", Государственной корпорацией по космической деятельности "</w:t>
            </w:r>
            <w:proofErr w:type="spellStart"/>
            <w:r w:rsidRPr="00B5620C">
              <w:rPr>
                <w:sz w:val="28"/>
                <w:szCs w:val="28"/>
              </w:rPr>
              <w:t>Роскосмос</w:t>
            </w:r>
            <w:proofErr w:type="spellEnd"/>
            <w:r w:rsidRPr="00B5620C">
              <w:rPr>
                <w:sz w:val="28"/>
                <w:szCs w:val="28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которое определяет в том числе условия и порядок возмещения ущерба, причиненного указанному объекту при осуществлении реконструкции (в случае проведения такой реконструкции)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14) решение общего собрания собственников помещений и </w:t>
            </w:r>
            <w:proofErr w:type="spellStart"/>
            <w:r w:rsidRPr="00B5620C">
              <w:rPr>
                <w:sz w:val="28"/>
                <w:szCs w:val="28"/>
              </w:rPr>
              <w:t>машино</w:t>
            </w:r>
            <w:proofErr w:type="spellEnd"/>
            <w:r w:rsidRPr="00B5620C">
              <w:rPr>
                <w:sz w:val="28"/>
                <w:szCs w:val="28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5620C">
              <w:rPr>
                <w:sz w:val="28"/>
                <w:szCs w:val="28"/>
              </w:rPr>
              <w:t>машино</w:t>
            </w:r>
            <w:proofErr w:type="spellEnd"/>
            <w:r w:rsidRPr="00B5620C">
              <w:rPr>
                <w:sz w:val="28"/>
                <w:szCs w:val="28"/>
              </w:rPr>
              <w:t>-мест в многоквартирном доме или его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lastRenderedPageBreak/>
              <w:t>15)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или скан-копия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16) документы, предусмотренные законодательством Российской Федерации об объектах культурного наследия,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или их скан-копии (при заполнении электронной формы);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17)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и если для эксплуатации этого объекта в соответствии с федеральными законами требуется установление охранной зоны. Местоположение границ такой зоны должно быть согласовано с органом </w:t>
            </w:r>
            <w:r w:rsidRPr="00B5620C">
              <w:rPr>
                <w:sz w:val="28"/>
                <w:szCs w:val="28"/>
              </w:rPr>
              <w:lastRenderedPageBreak/>
              <w:t>государственной власти или органом местного самоуправления, уполномоченными на принятие решений об установлении такой зоны (границ такой зоны), за исключением случаев, если указанные органы являются органами, выдающими разрешение на ввод объекта в эксплуатацию. Предоставление предусмотренных настоящим пунктом документов не требуется в случае, если подано заявлен е о выдаче разрешения на ввод в эксплуатацию реконструированного объекта капитального строительства и в результате указанной реконструкции расположение границ ранее установленной охранной зоны не изменилось или их скан-копии (при заполнении электронной формы).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целях строительства, реконструкции объекта индивидуального жилищного строительства застройщиком предоставляются: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1) заявление;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2) документ, удостоверяющий личность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4) правоустанавливающие документы на земельный участок, если право на него не зарегистрировано в Едином государственном реестре недвижимости;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5) схема планировочной организации земельного участка с обозначением места размещения </w:t>
            </w:r>
            <w:r w:rsidRPr="00B5620C">
              <w:rPr>
                <w:sz w:val="28"/>
                <w:szCs w:val="28"/>
              </w:rPr>
              <w:lastRenderedPageBreak/>
              <w:t>объекта индивидуального жилищного строительства;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6) описание внешнего облика объекта индивидуального жилищного строительства (в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частью 10.2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РФ.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случае планирования строительства или реконструкции объекта капитального строительства в соответствии с типовым архитектурным решением объекта капитального строительства, то в заявлении о выдаче разрешения на строительство указывается такое типовое архитектурное решение. В этом случае приложение описания внешнего облика объекта не требуется).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случае внесения изменений в разрешение на строительство, реконструкцию объекта капитального строительства застройщиком предоставляются: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1) заявление (приложение N 2 к настоящему Регламенту);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2) документ, удостоверяющий личность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4) документ-основание, обосновывающий внесение изменений в разрешение на строительство, реконструкцию </w:t>
            </w:r>
            <w:r w:rsidRPr="00B5620C">
              <w:rPr>
                <w:sz w:val="28"/>
                <w:szCs w:val="28"/>
              </w:rPr>
              <w:lastRenderedPageBreak/>
              <w:t>объекта капитального строительства.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случае обнаружения технической ошибки в документе-результате муниципальной услуги: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1) заявление (приложение N 3 к настоящему Регламенту);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2) документ, удостоверяющий личность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3) документ, подтверждающий полномочия представителя заявителя;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4) документ - результат муниципальной услуги, содержащий техническую ошибку.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>В случае перехода к заявителю прав на земельные участки, права пользования недрами об образовании земельного участка заявителем предоставляется уведомление (приложение N 4 к настоящему Регламенту) с указанием реквизитов: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1) правоустанавливающих документов на такие земельные участки в случае, указанном в части 21.5 статьи 51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2) решения об образовании земельных участков в случаях, предусмотренных частями 21.6 и 21.7 статьи 51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3)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</w:t>
            </w:r>
            <w:r w:rsidRPr="00B5620C">
              <w:rPr>
                <w:sz w:val="28"/>
                <w:szCs w:val="28"/>
              </w:rPr>
              <w:lastRenderedPageBreak/>
              <w:t xml:space="preserve">предусмотренном частью 21.7 статьи 51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РФ;</w:t>
            </w:r>
          </w:p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B5620C">
              <w:rPr>
                <w:sz w:val="28"/>
                <w:szCs w:val="28"/>
              </w:rPr>
              <w:t xml:space="preserve">4)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</w:t>
            </w:r>
            <w:proofErr w:type="spellStart"/>
            <w:r w:rsidRPr="00B5620C">
              <w:rPr>
                <w:sz w:val="28"/>
                <w:szCs w:val="28"/>
              </w:rPr>
              <w:t>ГрК</w:t>
            </w:r>
            <w:proofErr w:type="spellEnd"/>
            <w:r w:rsidRPr="00B5620C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2670" w:type="dxa"/>
          </w:tcPr>
          <w:p w:rsidR="00F80C33" w:rsidRPr="00B5620C" w:rsidRDefault="00F80C33" w:rsidP="00B5620C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пункт 2.15 изложить в следующей редакции: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4394"/>
        <w:gridCol w:w="2694"/>
      </w:tblGrid>
      <w:tr w:rsidR="00F80C33" w:rsidRPr="00B5620C" w:rsidTr="00F80C33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0C33" w:rsidRPr="00B5620C" w:rsidRDefault="00F80C33" w:rsidP="00B56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Исполкома в зоне доступности общественного транспорта;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подачи заявления, получения информации о ходе предоставления муниципальной услуги, получения результата предоставления муниципальной услуги в электронном виде через личный кабинет на Портале государственных и муниципальных услуг Республики Татарстан uslugi.tatarstan.ru;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запись на прием к сотрудникам Исполнительного комитета или многофункционального центра доступна через Портал государственных и муниципальных услуг Республики Татарстан uslugi.tatarstan.ru (при наличии технической возможности).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запроса о предоставлении муниципальной </w:t>
            </w:r>
            <w:proofErr w:type="gram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 и</w:t>
            </w:r>
            <w:proofErr w:type="gram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Информация о ходе предоставления муниципальной услуги может быть получена заявителем на </w:t>
            </w:r>
            <w:proofErr w:type="gram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 http://kamskoye-ustye.tatarstan.ru/</w:t>
            </w:r>
            <w:proofErr w:type="gram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C33" w:rsidRPr="00B5620C" w:rsidRDefault="00F80C33" w:rsidP="00B5620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пункт 2.16 изложить в следующей редакции: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4"/>
        <w:gridCol w:w="4394"/>
        <w:gridCol w:w="2694"/>
      </w:tblGrid>
      <w:tr w:rsidR="00F80C33" w:rsidRPr="00B5620C" w:rsidTr="00F80C33"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:rsidR="00F80C33" w:rsidRPr="00B5620C" w:rsidRDefault="00F80C33" w:rsidP="00B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2.16. Особенности предоставления муниципальной услуги в электронной форме </w:t>
            </w:r>
          </w:p>
          <w:p w:rsidR="00F80C33" w:rsidRPr="00B5620C" w:rsidRDefault="00F80C33" w:rsidP="00B56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80C33" w:rsidRPr="00B5620C" w:rsidRDefault="00F80C33" w:rsidP="00B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 uslugi.tatarstan.ru.</w:t>
            </w:r>
          </w:p>
          <w:p w:rsidR="00F80C33" w:rsidRPr="00B5620C" w:rsidRDefault="00F80C33" w:rsidP="00B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uslugi.tatarstan.ru или Единый портал государственных и муниципальных услуг (функций) (</w:t>
            </w:r>
            <w:hyperlink r:id="rId4" w:history="1">
              <w:r w:rsidRPr="00B562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http://www.gosuslugi.ru/</w:t>
              </w:r>
            </w:hyperlink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F80C33" w:rsidRPr="00B5620C" w:rsidRDefault="00F80C33" w:rsidP="00B5620C">
            <w:pPr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услуга предоставляется в электронной форме </w:t>
            </w:r>
            <w:proofErr w:type="gram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следующих</w:t>
            </w:r>
            <w:proofErr w:type="gram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случаях:</w:t>
            </w:r>
          </w:p>
          <w:p w:rsidR="00F80C33" w:rsidRPr="00B5620C" w:rsidRDefault="00F80C33" w:rsidP="00B5620C">
            <w:pPr>
              <w:shd w:val="clear" w:color="auto" w:fill="FFFFFF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 частью 12.1 статьи 48 </w:t>
            </w:r>
            <w:proofErr w:type="spell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РФ, положительное заключение государственной экспертизы проектной документации в случаях, предусмотренных частью 3.4 </w:t>
            </w: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статьи 49 </w:t>
            </w:r>
            <w:proofErr w:type="spell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 частью 6 статьи 49 </w:t>
            </w:r>
            <w:proofErr w:type="spellStart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РФ, представлялись в электронной форме (с заверенной электронно-цифровой подписью);</w:t>
            </w:r>
          </w:p>
          <w:p w:rsidR="00F80C33" w:rsidRPr="00B5620C" w:rsidRDefault="00F80C33" w:rsidP="00B5620C">
            <w:pPr>
              <w:shd w:val="clear" w:color="auto" w:fill="FFFFFF"/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F80C33" w:rsidRPr="00B5620C" w:rsidRDefault="00F80C33" w:rsidP="00B5620C">
            <w:pPr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формы).</w:t>
            </w:r>
          </w:p>
          <w:p w:rsidR="00F80C33" w:rsidRPr="00B5620C" w:rsidRDefault="00F80C33" w:rsidP="00B5620C">
            <w:pPr>
              <w:spacing w:after="0" w:line="240" w:lineRule="auto"/>
              <w:ind w:firstLine="47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на предоставление муниципальной услуги в электронной форме подписывается в соответствии с требованиями Федерального закона №63-ФЗ и Федерального закона №210-ФЗ простой электронной подписью.</w:t>
            </w:r>
          </w:p>
          <w:p w:rsidR="00F80C33" w:rsidRPr="00B5620C" w:rsidRDefault="00F80C33" w:rsidP="00B5620C">
            <w:pPr>
              <w:spacing w:after="0"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Регистрация заявления, полученного через Портал государственных и муниципальных услуг Республики Татарстан uslugi.tatarstan.ru осуществляется в модуле для оказания государственных, муниципальных и социально-значимых услуг в электронном виде для внутренних пользователей Информационной </w:t>
            </w: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системы «Государственный информационный центр Республики Татарстан».</w:t>
            </w:r>
          </w:p>
          <w:p w:rsidR="00F80C33" w:rsidRPr="00B5620C" w:rsidRDefault="00F80C33" w:rsidP="00B5620C">
            <w:pPr>
              <w:spacing w:after="0" w:line="240" w:lineRule="auto"/>
              <w:ind w:firstLine="3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 через Портал государственных и муниципальных услуг Республики Татарстан uslugi.tatarstan.ru информация о ходе предоставления муниципальной услуги, а также результат муниципальной услуги направляется в личный кабинет заявителя на Портале государственных и муниципальных услуг Республики Татарстан uslugi.tatarstan.ru в электронной форме, непосредственного взаимодействия заявителя с исполнителем не требуется.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80C33" w:rsidRPr="00B5620C" w:rsidRDefault="00F80C33" w:rsidP="00B56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«3.1. Описание последовательности действий при предоставлении муниципальной услуги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8) 3.1.1. Предоставление муниципальной услуги включает в себя следующие процедуры: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 xml:space="preserve">3.1.1.1 при подаче заявления лично в форме бумажного носителя: 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3.1.1.2 при подаче заявления в электронной форме заявления на Портале государственных и муниципальных услуг Республики Татарстан uslugi.tatarstan.ru: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1)</w:t>
      </w:r>
      <w:r w:rsidRPr="00B5620C">
        <w:rPr>
          <w:rFonts w:ascii="Times New Roman" w:hAnsi="Times New Roman" w:cs="Times New Roman"/>
          <w:sz w:val="28"/>
          <w:szCs w:val="28"/>
        </w:rPr>
        <w:tab/>
        <w:t>заполнение на Портале государственных и муниципальных услуг Республики Татарстан uslugi.tatarstan.ru заявителем электронной формы заявления;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2)</w:t>
      </w:r>
      <w:r w:rsidRPr="00B5620C">
        <w:rPr>
          <w:rFonts w:ascii="Times New Roman" w:hAnsi="Times New Roman" w:cs="Times New Roman"/>
          <w:sz w:val="28"/>
          <w:szCs w:val="28"/>
        </w:rPr>
        <w:tab/>
        <w:t>принятие и регистрация заявления;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3)</w:t>
      </w:r>
      <w:r w:rsidRPr="00B5620C">
        <w:rPr>
          <w:rFonts w:ascii="Times New Roman" w:hAnsi="Times New Roman" w:cs="Times New Roman"/>
          <w:sz w:val="28"/>
          <w:szCs w:val="28"/>
        </w:rPr>
        <w:tab/>
        <w:t>формирование и направление межведомственных запросов в органы, участвующие в предоставлении муниципальной услуги</w:t>
      </w:r>
    </w:p>
    <w:p w:rsidR="0004113F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4)</w:t>
      </w:r>
      <w:r w:rsidRPr="00B5620C">
        <w:rPr>
          <w:rFonts w:ascii="Times New Roman" w:hAnsi="Times New Roman" w:cs="Times New Roman"/>
          <w:sz w:val="28"/>
          <w:szCs w:val="28"/>
        </w:rPr>
        <w:tab/>
        <w:t>подготовка результата предоставления муниципальной услуги;</w:t>
      </w:r>
    </w:p>
    <w:p w:rsidR="00546A7E" w:rsidRPr="00B5620C" w:rsidRDefault="0004113F" w:rsidP="00B5620C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>5)</w:t>
      </w:r>
      <w:r w:rsidRPr="00B5620C">
        <w:rPr>
          <w:rFonts w:ascii="Times New Roman" w:hAnsi="Times New Roman" w:cs="Times New Roman"/>
          <w:sz w:val="28"/>
          <w:szCs w:val="28"/>
        </w:rPr>
        <w:tab/>
        <w:t>направление результата в личный кабинет заявителя на Портале государственных и муниципальных услуг uslugi.tatarstan.ru.»</w:t>
      </w:r>
      <w:r w:rsidR="00546A7E" w:rsidRPr="00B5620C">
        <w:rPr>
          <w:rFonts w:ascii="Times New Roman" w:hAnsi="Times New Roman" w:cs="Times New Roman"/>
          <w:sz w:val="28"/>
          <w:szCs w:val="28"/>
        </w:rPr>
        <w:t>.</w:t>
      </w:r>
    </w:p>
    <w:p w:rsidR="00502AA5" w:rsidRPr="0016495D" w:rsidRDefault="0016495D" w:rsidP="0016495D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6495D">
        <w:rPr>
          <w:rFonts w:ascii="Times New Roman" w:hAnsi="Times New Roman" w:cs="Times New Roman"/>
          <w:sz w:val="28"/>
          <w:szCs w:val="28"/>
        </w:rPr>
        <w:t>2.</w:t>
      </w:r>
      <w:r w:rsidR="00502AA5" w:rsidRPr="0016495D">
        <w:rPr>
          <w:rFonts w:ascii="Times New Roman" w:hAnsi="Times New Roman" w:cs="Times New Roman"/>
          <w:sz w:val="28"/>
          <w:szCs w:val="28"/>
        </w:rPr>
        <w:t xml:space="preserve">Разместить   настоящее постановление на официальном сайте Аксубаевского муниципального района Республики Татарстан </w:t>
      </w:r>
      <w:r w:rsidR="00502AA5" w:rsidRPr="0016495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02AA5" w:rsidRPr="0016495D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502AA5" w:rsidRPr="0016495D">
        <w:rPr>
          <w:rFonts w:ascii="Times New Roman" w:hAnsi="Times New Roman" w:cs="Times New Roman"/>
          <w:sz w:val="28"/>
          <w:szCs w:val="28"/>
          <w:lang w:val="en-US"/>
        </w:rPr>
        <w:lastRenderedPageBreak/>
        <w:t>Aksubayevo</w:t>
      </w:r>
      <w:proofErr w:type="spellEnd"/>
      <w:r w:rsidR="00502AA5" w:rsidRPr="001649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2AA5" w:rsidRPr="0016495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502AA5" w:rsidRPr="001649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2AA5" w:rsidRPr="001649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02AA5" w:rsidRPr="0016495D">
        <w:rPr>
          <w:rFonts w:ascii="Times New Roman" w:hAnsi="Times New Roman" w:cs="Times New Roman"/>
          <w:sz w:val="28"/>
          <w:szCs w:val="28"/>
        </w:rPr>
        <w:t xml:space="preserve"> и опубликовать на портале </w:t>
      </w:r>
      <w:proofErr w:type="gramStart"/>
      <w:r w:rsidR="00502AA5" w:rsidRPr="0016495D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502AA5" w:rsidRPr="0016495D">
        <w:rPr>
          <w:rFonts w:ascii="Times New Roman" w:hAnsi="Times New Roman" w:cs="Times New Roman"/>
          <w:sz w:val="28"/>
          <w:szCs w:val="28"/>
        </w:rPr>
        <w:t xml:space="preserve"> Республики Татарстан  http://pravo.tatarstan.ru.  </w:t>
      </w:r>
    </w:p>
    <w:p w:rsidR="00C22459" w:rsidRPr="00B5620C" w:rsidRDefault="00C22459" w:rsidP="0016495D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5D">
        <w:rPr>
          <w:rFonts w:ascii="Times New Roman" w:hAnsi="Times New Roman" w:cs="Times New Roman"/>
          <w:sz w:val="28"/>
          <w:szCs w:val="28"/>
        </w:rPr>
        <w:t>3. Контроль за</w:t>
      </w:r>
      <w:r w:rsidRPr="00B562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0C33" w:rsidRDefault="00F80C33" w:rsidP="00B5620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620C" w:rsidRPr="00B5620C" w:rsidRDefault="00B5620C" w:rsidP="00B5620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620C" w:rsidRDefault="00C22459" w:rsidP="00B5620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2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B5620C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="00B56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20C" w:rsidRDefault="00B5620C" w:rsidP="00B5620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C22459" w:rsidRPr="007325BD" w:rsidRDefault="00B5620C" w:rsidP="00B5620C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22459" w:rsidRPr="00B562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325BD" w:rsidRPr="00B5620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7325BD" w:rsidRPr="00B5620C">
        <w:rPr>
          <w:rFonts w:ascii="Times New Roman" w:hAnsi="Times New Roman" w:cs="Times New Roman"/>
          <w:sz w:val="28"/>
          <w:szCs w:val="28"/>
        </w:rPr>
        <w:t>А.Ф.Горб</w:t>
      </w:r>
      <w:r w:rsidR="007325BD" w:rsidRPr="007325BD">
        <w:rPr>
          <w:rFonts w:ascii="Times New Roman" w:hAnsi="Times New Roman" w:cs="Times New Roman"/>
          <w:sz w:val="24"/>
          <w:szCs w:val="24"/>
        </w:rPr>
        <w:t>унов</w:t>
      </w:r>
      <w:proofErr w:type="spellEnd"/>
    </w:p>
    <w:sectPr w:rsidR="00C22459" w:rsidRPr="007325BD" w:rsidSect="00F80C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FE"/>
    <w:rsid w:val="000009C7"/>
    <w:rsid w:val="00005DD1"/>
    <w:rsid w:val="00006565"/>
    <w:rsid w:val="000159C4"/>
    <w:rsid w:val="00015AF7"/>
    <w:rsid w:val="0001736B"/>
    <w:rsid w:val="000216D5"/>
    <w:rsid w:val="00021D4A"/>
    <w:rsid w:val="00021DB2"/>
    <w:rsid w:val="000228CA"/>
    <w:rsid w:val="000246F0"/>
    <w:rsid w:val="0002674B"/>
    <w:rsid w:val="00031D55"/>
    <w:rsid w:val="00033C8A"/>
    <w:rsid w:val="00036396"/>
    <w:rsid w:val="000378B2"/>
    <w:rsid w:val="0004113F"/>
    <w:rsid w:val="0004467B"/>
    <w:rsid w:val="000545A2"/>
    <w:rsid w:val="00055DA1"/>
    <w:rsid w:val="00057B87"/>
    <w:rsid w:val="00060919"/>
    <w:rsid w:val="00060B9B"/>
    <w:rsid w:val="0007211D"/>
    <w:rsid w:val="000730AA"/>
    <w:rsid w:val="00073C7C"/>
    <w:rsid w:val="00082C73"/>
    <w:rsid w:val="000863A2"/>
    <w:rsid w:val="00095942"/>
    <w:rsid w:val="000A4F33"/>
    <w:rsid w:val="000C12E3"/>
    <w:rsid w:val="000C5259"/>
    <w:rsid w:val="000D1A42"/>
    <w:rsid w:val="000D2093"/>
    <w:rsid w:val="000D737E"/>
    <w:rsid w:val="000E2141"/>
    <w:rsid w:val="000E3B39"/>
    <w:rsid w:val="000F701D"/>
    <w:rsid w:val="001001C3"/>
    <w:rsid w:val="00104459"/>
    <w:rsid w:val="00113999"/>
    <w:rsid w:val="00140AA6"/>
    <w:rsid w:val="0014482A"/>
    <w:rsid w:val="00147321"/>
    <w:rsid w:val="00157E40"/>
    <w:rsid w:val="001646D0"/>
    <w:rsid w:val="0016495D"/>
    <w:rsid w:val="00165853"/>
    <w:rsid w:val="00165A8E"/>
    <w:rsid w:val="00165E53"/>
    <w:rsid w:val="00166766"/>
    <w:rsid w:val="00166F80"/>
    <w:rsid w:val="001678C8"/>
    <w:rsid w:val="00171A36"/>
    <w:rsid w:val="001737C9"/>
    <w:rsid w:val="00175D6B"/>
    <w:rsid w:val="00177933"/>
    <w:rsid w:val="0018075A"/>
    <w:rsid w:val="001845A2"/>
    <w:rsid w:val="001C4520"/>
    <w:rsid w:val="001C74C3"/>
    <w:rsid w:val="001D1D3B"/>
    <w:rsid w:val="001D6860"/>
    <w:rsid w:val="001E26EE"/>
    <w:rsid w:val="001E47BB"/>
    <w:rsid w:val="001E4F07"/>
    <w:rsid w:val="0020349A"/>
    <w:rsid w:val="00206E3A"/>
    <w:rsid w:val="0021116A"/>
    <w:rsid w:val="00214F3C"/>
    <w:rsid w:val="00227F60"/>
    <w:rsid w:val="00231E20"/>
    <w:rsid w:val="00232054"/>
    <w:rsid w:val="00232BB7"/>
    <w:rsid w:val="00234038"/>
    <w:rsid w:val="0023456A"/>
    <w:rsid w:val="00234928"/>
    <w:rsid w:val="00235E63"/>
    <w:rsid w:val="0024133E"/>
    <w:rsid w:val="00245DFF"/>
    <w:rsid w:val="00246806"/>
    <w:rsid w:val="00246F4F"/>
    <w:rsid w:val="00252450"/>
    <w:rsid w:val="002542BF"/>
    <w:rsid w:val="00266455"/>
    <w:rsid w:val="002750EB"/>
    <w:rsid w:val="00276363"/>
    <w:rsid w:val="002805CA"/>
    <w:rsid w:val="0029206B"/>
    <w:rsid w:val="002932EE"/>
    <w:rsid w:val="002A674D"/>
    <w:rsid w:val="002A6AC1"/>
    <w:rsid w:val="002B0A4A"/>
    <w:rsid w:val="002B2DCC"/>
    <w:rsid w:val="002B56FA"/>
    <w:rsid w:val="002C4DFB"/>
    <w:rsid w:val="002C57FC"/>
    <w:rsid w:val="002C79B1"/>
    <w:rsid w:val="002E1E60"/>
    <w:rsid w:val="002E3753"/>
    <w:rsid w:val="002F065B"/>
    <w:rsid w:val="002F5BB0"/>
    <w:rsid w:val="002F7FE4"/>
    <w:rsid w:val="00302811"/>
    <w:rsid w:val="003037C2"/>
    <w:rsid w:val="00303F2B"/>
    <w:rsid w:val="0030598A"/>
    <w:rsid w:val="003133D6"/>
    <w:rsid w:val="0031366F"/>
    <w:rsid w:val="0032179E"/>
    <w:rsid w:val="00323AD6"/>
    <w:rsid w:val="00336EB5"/>
    <w:rsid w:val="00341F89"/>
    <w:rsid w:val="00342260"/>
    <w:rsid w:val="00346F22"/>
    <w:rsid w:val="00347626"/>
    <w:rsid w:val="00354F30"/>
    <w:rsid w:val="0035507D"/>
    <w:rsid w:val="003571E9"/>
    <w:rsid w:val="00364585"/>
    <w:rsid w:val="00364C43"/>
    <w:rsid w:val="00365261"/>
    <w:rsid w:val="00376FC3"/>
    <w:rsid w:val="00380787"/>
    <w:rsid w:val="003B5DA3"/>
    <w:rsid w:val="003C034C"/>
    <w:rsid w:val="003C1EAD"/>
    <w:rsid w:val="003C2CEC"/>
    <w:rsid w:val="003C4A25"/>
    <w:rsid w:val="003D09A6"/>
    <w:rsid w:val="003D78CB"/>
    <w:rsid w:val="00400293"/>
    <w:rsid w:val="00407216"/>
    <w:rsid w:val="004103CE"/>
    <w:rsid w:val="00411799"/>
    <w:rsid w:val="00412FA9"/>
    <w:rsid w:val="00416DC4"/>
    <w:rsid w:val="004222C0"/>
    <w:rsid w:val="0043082F"/>
    <w:rsid w:val="00430F97"/>
    <w:rsid w:val="00431F01"/>
    <w:rsid w:val="00433331"/>
    <w:rsid w:val="00436D85"/>
    <w:rsid w:val="00441B69"/>
    <w:rsid w:val="00447316"/>
    <w:rsid w:val="004529F2"/>
    <w:rsid w:val="004571BD"/>
    <w:rsid w:val="00460AD5"/>
    <w:rsid w:val="00463636"/>
    <w:rsid w:val="00490F73"/>
    <w:rsid w:val="00493F2C"/>
    <w:rsid w:val="004A11D3"/>
    <w:rsid w:val="004A64FB"/>
    <w:rsid w:val="004B0D11"/>
    <w:rsid w:val="004C1F9C"/>
    <w:rsid w:val="004C3AE1"/>
    <w:rsid w:val="004C61A1"/>
    <w:rsid w:val="004D0C36"/>
    <w:rsid w:val="004D11B6"/>
    <w:rsid w:val="004D2135"/>
    <w:rsid w:val="004D5122"/>
    <w:rsid w:val="004D5F1A"/>
    <w:rsid w:val="004E115D"/>
    <w:rsid w:val="004E2370"/>
    <w:rsid w:val="004E7131"/>
    <w:rsid w:val="004F1DE7"/>
    <w:rsid w:val="004F5C72"/>
    <w:rsid w:val="004F6912"/>
    <w:rsid w:val="00502AA5"/>
    <w:rsid w:val="0050666D"/>
    <w:rsid w:val="00512218"/>
    <w:rsid w:val="0051260E"/>
    <w:rsid w:val="00516E15"/>
    <w:rsid w:val="005175A7"/>
    <w:rsid w:val="00526D90"/>
    <w:rsid w:val="005321C9"/>
    <w:rsid w:val="00535662"/>
    <w:rsid w:val="00535A79"/>
    <w:rsid w:val="00536AD7"/>
    <w:rsid w:val="00537297"/>
    <w:rsid w:val="00542B6E"/>
    <w:rsid w:val="005444CE"/>
    <w:rsid w:val="00546A7E"/>
    <w:rsid w:val="00553728"/>
    <w:rsid w:val="0057218C"/>
    <w:rsid w:val="00576D60"/>
    <w:rsid w:val="00587C22"/>
    <w:rsid w:val="005A07F9"/>
    <w:rsid w:val="005A4D2C"/>
    <w:rsid w:val="005A506B"/>
    <w:rsid w:val="005B20F7"/>
    <w:rsid w:val="005B4198"/>
    <w:rsid w:val="005B552E"/>
    <w:rsid w:val="005C1B9A"/>
    <w:rsid w:val="005C4879"/>
    <w:rsid w:val="005E4312"/>
    <w:rsid w:val="005F1584"/>
    <w:rsid w:val="005F2C8D"/>
    <w:rsid w:val="005F4E65"/>
    <w:rsid w:val="005F5010"/>
    <w:rsid w:val="005F5CA8"/>
    <w:rsid w:val="00611190"/>
    <w:rsid w:val="006175D8"/>
    <w:rsid w:val="006243F2"/>
    <w:rsid w:val="00630289"/>
    <w:rsid w:val="006406E6"/>
    <w:rsid w:val="00641CC4"/>
    <w:rsid w:val="006443A8"/>
    <w:rsid w:val="00645E91"/>
    <w:rsid w:val="00646A5B"/>
    <w:rsid w:val="0065523D"/>
    <w:rsid w:val="00656116"/>
    <w:rsid w:val="006709D0"/>
    <w:rsid w:val="006837F9"/>
    <w:rsid w:val="00685624"/>
    <w:rsid w:val="006920DA"/>
    <w:rsid w:val="006A3037"/>
    <w:rsid w:val="006B14A3"/>
    <w:rsid w:val="006C085C"/>
    <w:rsid w:val="006C3FA3"/>
    <w:rsid w:val="006C5E96"/>
    <w:rsid w:val="006E6BFE"/>
    <w:rsid w:val="006E78B8"/>
    <w:rsid w:val="006E7A88"/>
    <w:rsid w:val="006F4F8B"/>
    <w:rsid w:val="006F7FD7"/>
    <w:rsid w:val="00700FA0"/>
    <w:rsid w:val="00701780"/>
    <w:rsid w:val="00702021"/>
    <w:rsid w:val="0070612C"/>
    <w:rsid w:val="00706D9A"/>
    <w:rsid w:val="007118C5"/>
    <w:rsid w:val="00723E3D"/>
    <w:rsid w:val="00724C42"/>
    <w:rsid w:val="007325BD"/>
    <w:rsid w:val="00741730"/>
    <w:rsid w:val="00742E09"/>
    <w:rsid w:val="00751899"/>
    <w:rsid w:val="00771EBF"/>
    <w:rsid w:val="0077475E"/>
    <w:rsid w:val="0078779F"/>
    <w:rsid w:val="00795698"/>
    <w:rsid w:val="007A145D"/>
    <w:rsid w:val="007A206F"/>
    <w:rsid w:val="007B2075"/>
    <w:rsid w:val="007B744B"/>
    <w:rsid w:val="007C0F6D"/>
    <w:rsid w:val="007C7212"/>
    <w:rsid w:val="007D05C4"/>
    <w:rsid w:val="007D6339"/>
    <w:rsid w:val="007D6F2E"/>
    <w:rsid w:val="007F7B97"/>
    <w:rsid w:val="00803553"/>
    <w:rsid w:val="00803E7E"/>
    <w:rsid w:val="00811573"/>
    <w:rsid w:val="00820338"/>
    <w:rsid w:val="00821CB6"/>
    <w:rsid w:val="0082400C"/>
    <w:rsid w:val="00824926"/>
    <w:rsid w:val="00827721"/>
    <w:rsid w:val="00840F9F"/>
    <w:rsid w:val="00843F31"/>
    <w:rsid w:val="00844FB6"/>
    <w:rsid w:val="008462A9"/>
    <w:rsid w:val="00846410"/>
    <w:rsid w:val="0084736E"/>
    <w:rsid w:val="008477D4"/>
    <w:rsid w:val="00850745"/>
    <w:rsid w:val="00852A5E"/>
    <w:rsid w:val="00853CE6"/>
    <w:rsid w:val="00870945"/>
    <w:rsid w:val="008728E4"/>
    <w:rsid w:val="008904B7"/>
    <w:rsid w:val="00892D6A"/>
    <w:rsid w:val="00896853"/>
    <w:rsid w:val="008A01A7"/>
    <w:rsid w:val="008A2E79"/>
    <w:rsid w:val="008A60EE"/>
    <w:rsid w:val="008B2385"/>
    <w:rsid w:val="008B3F3A"/>
    <w:rsid w:val="008C01B9"/>
    <w:rsid w:val="008C6162"/>
    <w:rsid w:val="008D24CA"/>
    <w:rsid w:val="008E132A"/>
    <w:rsid w:val="008E577D"/>
    <w:rsid w:val="008E65A6"/>
    <w:rsid w:val="009045A9"/>
    <w:rsid w:val="009052DD"/>
    <w:rsid w:val="00911BD1"/>
    <w:rsid w:val="0092197D"/>
    <w:rsid w:val="009222DD"/>
    <w:rsid w:val="0092482F"/>
    <w:rsid w:val="009249CD"/>
    <w:rsid w:val="00926B2C"/>
    <w:rsid w:val="00937606"/>
    <w:rsid w:val="009415F3"/>
    <w:rsid w:val="009429A0"/>
    <w:rsid w:val="00954BC3"/>
    <w:rsid w:val="00955D1E"/>
    <w:rsid w:val="00965EA4"/>
    <w:rsid w:val="00966D7D"/>
    <w:rsid w:val="00970992"/>
    <w:rsid w:val="0098244E"/>
    <w:rsid w:val="00990181"/>
    <w:rsid w:val="00991E02"/>
    <w:rsid w:val="0099432A"/>
    <w:rsid w:val="009A775F"/>
    <w:rsid w:val="009A7AAF"/>
    <w:rsid w:val="009B04E8"/>
    <w:rsid w:val="009B1546"/>
    <w:rsid w:val="009B259C"/>
    <w:rsid w:val="009B41C9"/>
    <w:rsid w:val="009B6375"/>
    <w:rsid w:val="009B6BC0"/>
    <w:rsid w:val="009C2891"/>
    <w:rsid w:val="009C72AB"/>
    <w:rsid w:val="009D3304"/>
    <w:rsid w:val="009D7BD5"/>
    <w:rsid w:val="00A00F50"/>
    <w:rsid w:val="00A01BE4"/>
    <w:rsid w:val="00A0583D"/>
    <w:rsid w:val="00A05DAF"/>
    <w:rsid w:val="00A10D5C"/>
    <w:rsid w:val="00A16C28"/>
    <w:rsid w:val="00A174BB"/>
    <w:rsid w:val="00A2193A"/>
    <w:rsid w:val="00A2580B"/>
    <w:rsid w:val="00A3254B"/>
    <w:rsid w:val="00A3686E"/>
    <w:rsid w:val="00A37ED8"/>
    <w:rsid w:val="00A4397B"/>
    <w:rsid w:val="00A45D3B"/>
    <w:rsid w:val="00A4684B"/>
    <w:rsid w:val="00A5042A"/>
    <w:rsid w:val="00A6376C"/>
    <w:rsid w:val="00A70CC7"/>
    <w:rsid w:val="00A76849"/>
    <w:rsid w:val="00A81889"/>
    <w:rsid w:val="00A910F4"/>
    <w:rsid w:val="00AA039B"/>
    <w:rsid w:val="00AA696E"/>
    <w:rsid w:val="00AB1B48"/>
    <w:rsid w:val="00AB7640"/>
    <w:rsid w:val="00AC0824"/>
    <w:rsid w:val="00AC1BF5"/>
    <w:rsid w:val="00AD3E22"/>
    <w:rsid w:val="00AE0833"/>
    <w:rsid w:val="00AE5436"/>
    <w:rsid w:val="00AE5748"/>
    <w:rsid w:val="00AE57FA"/>
    <w:rsid w:val="00AF40BF"/>
    <w:rsid w:val="00AF6207"/>
    <w:rsid w:val="00AF69E5"/>
    <w:rsid w:val="00AF727B"/>
    <w:rsid w:val="00B059BA"/>
    <w:rsid w:val="00B06613"/>
    <w:rsid w:val="00B068CD"/>
    <w:rsid w:val="00B12B19"/>
    <w:rsid w:val="00B221F3"/>
    <w:rsid w:val="00B263BC"/>
    <w:rsid w:val="00B27F91"/>
    <w:rsid w:val="00B30C46"/>
    <w:rsid w:val="00B31021"/>
    <w:rsid w:val="00B519E3"/>
    <w:rsid w:val="00B550F8"/>
    <w:rsid w:val="00B5620C"/>
    <w:rsid w:val="00B56DF9"/>
    <w:rsid w:val="00B57DD1"/>
    <w:rsid w:val="00B66D40"/>
    <w:rsid w:val="00B70DF5"/>
    <w:rsid w:val="00B825FD"/>
    <w:rsid w:val="00B83FBD"/>
    <w:rsid w:val="00B900DC"/>
    <w:rsid w:val="00B914AC"/>
    <w:rsid w:val="00B92AD9"/>
    <w:rsid w:val="00B95C4A"/>
    <w:rsid w:val="00BA066C"/>
    <w:rsid w:val="00BA3421"/>
    <w:rsid w:val="00BA5140"/>
    <w:rsid w:val="00BA5F26"/>
    <w:rsid w:val="00BB5F8B"/>
    <w:rsid w:val="00BC364A"/>
    <w:rsid w:val="00BD3BAE"/>
    <w:rsid w:val="00BD51C8"/>
    <w:rsid w:val="00BE09E3"/>
    <w:rsid w:val="00BE0F6D"/>
    <w:rsid w:val="00BE16C5"/>
    <w:rsid w:val="00BE2180"/>
    <w:rsid w:val="00BE671A"/>
    <w:rsid w:val="00BF412F"/>
    <w:rsid w:val="00C03084"/>
    <w:rsid w:val="00C03448"/>
    <w:rsid w:val="00C14BE7"/>
    <w:rsid w:val="00C15C50"/>
    <w:rsid w:val="00C22459"/>
    <w:rsid w:val="00C242E7"/>
    <w:rsid w:val="00C24FFE"/>
    <w:rsid w:val="00C25BE7"/>
    <w:rsid w:val="00C3799C"/>
    <w:rsid w:val="00C4129C"/>
    <w:rsid w:val="00C46D36"/>
    <w:rsid w:val="00C51BE4"/>
    <w:rsid w:val="00C54142"/>
    <w:rsid w:val="00C56A70"/>
    <w:rsid w:val="00C669EC"/>
    <w:rsid w:val="00C67C69"/>
    <w:rsid w:val="00C7297E"/>
    <w:rsid w:val="00C83C1E"/>
    <w:rsid w:val="00C90E5F"/>
    <w:rsid w:val="00C90F30"/>
    <w:rsid w:val="00CA553C"/>
    <w:rsid w:val="00CA563D"/>
    <w:rsid w:val="00CB0090"/>
    <w:rsid w:val="00CB04CB"/>
    <w:rsid w:val="00CB0C7F"/>
    <w:rsid w:val="00CB1514"/>
    <w:rsid w:val="00CB6599"/>
    <w:rsid w:val="00CB711A"/>
    <w:rsid w:val="00CC013B"/>
    <w:rsid w:val="00CC4840"/>
    <w:rsid w:val="00CC7408"/>
    <w:rsid w:val="00CC7679"/>
    <w:rsid w:val="00CE4F44"/>
    <w:rsid w:val="00CF19D2"/>
    <w:rsid w:val="00CF1D97"/>
    <w:rsid w:val="00CF6232"/>
    <w:rsid w:val="00D141D4"/>
    <w:rsid w:val="00D15395"/>
    <w:rsid w:val="00D200B0"/>
    <w:rsid w:val="00D32EEA"/>
    <w:rsid w:val="00D34AE1"/>
    <w:rsid w:val="00D4598B"/>
    <w:rsid w:val="00D47706"/>
    <w:rsid w:val="00D51B6F"/>
    <w:rsid w:val="00D5361E"/>
    <w:rsid w:val="00D56B19"/>
    <w:rsid w:val="00D609F3"/>
    <w:rsid w:val="00D65CB8"/>
    <w:rsid w:val="00D815CB"/>
    <w:rsid w:val="00D84173"/>
    <w:rsid w:val="00D8629E"/>
    <w:rsid w:val="00D9115F"/>
    <w:rsid w:val="00D92B87"/>
    <w:rsid w:val="00D95BD5"/>
    <w:rsid w:val="00DA7C00"/>
    <w:rsid w:val="00DB1E53"/>
    <w:rsid w:val="00DB2518"/>
    <w:rsid w:val="00DC582A"/>
    <w:rsid w:val="00DD0B87"/>
    <w:rsid w:val="00DD45C8"/>
    <w:rsid w:val="00DE0107"/>
    <w:rsid w:val="00DE1489"/>
    <w:rsid w:val="00DE38A1"/>
    <w:rsid w:val="00DE41AC"/>
    <w:rsid w:val="00DE4222"/>
    <w:rsid w:val="00DE4980"/>
    <w:rsid w:val="00DE7D66"/>
    <w:rsid w:val="00DF594E"/>
    <w:rsid w:val="00DF6304"/>
    <w:rsid w:val="00E037A9"/>
    <w:rsid w:val="00E060BA"/>
    <w:rsid w:val="00E06320"/>
    <w:rsid w:val="00E10F18"/>
    <w:rsid w:val="00E17943"/>
    <w:rsid w:val="00E17D57"/>
    <w:rsid w:val="00E2156A"/>
    <w:rsid w:val="00E2204D"/>
    <w:rsid w:val="00E22A47"/>
    <w:rsid w:val="00E22F7A"/>
    <w:rsid w:val="00E24A70"/>
    <w:rsid w:val="00E33024"/>
    <w:rsid w:val="00E34808"/>
    <w:rsid w:val="00E50A89"/>
    <w:rsid w:val="00E525E6"/>
    <w:rsid w:val="00E52AA7"/>
    <w:rsid w:val="00E52B85"/>
    <w:rsid w:val="00E554C6"/>
    <w:rsid w:val="00E77775"/>
    <w:rsid w:val="00E81CF2"/>
    <w:rsid w:val="00E824F0"/>
    <w:rsid w:val="00E9163B"/>
    <w:rsid w:val="00E943D6"/>
    <w:rsid w:val="00EA3F47"/>
    <w:rsid w:val="00EA5378"/>
    <w:rsid w:val="00EA705D"/>
    <w:rsid w:val="00EB2769"/>
    <w:rsid w:val="00EB70AC"/>
    <w:rsid w:val="00EC0D22"/>
    <w:rsid w:val="00EC65AA"/>
    <w:rsid w:val="00EC7455"/>
    <w:rsid w:val="00EC7F63"/>
    <w:rsid w:val="00ED2411"/>
    <w:rsid w:val="00ED631F"/>
    <w:rsid w:val="00EE048E"/>
    <w:rsid w:val="00EE7E26"/>
    <w:rsid w:val="00EF55D1"/>
    <w:rsid w:val="00F000A0"/>
    <w:rsid w:val="00F01F9E"/>
    <w:rsid w:val="00F03981"/>
    <w:rsid w:val="00F05F20"/>
    <w:rsid w:val="00F1058A"/>
    <w:rsid w:val="00F12C52"/>
    <w:rsid w:val="00F155BA"/>
    <w:rsid w:val="00F244C4"/>
    <w:rsid w:val="00F27EDC"/>
    <w:rsid w:val="00F3529E"/>
    <w:rsid w:val="00F360EC"/>
    <w:rsid w:val="00F45B63"/>
    <w:rsid w:val="00F479C6"/>
    <w:rsid w:val="00F558C2"/>
    <w:rsid w:val="00F55B89"/>
    <w:rsid w:val="00F56B07"/>
    <w:rsid w:val="00F67E35"/>
    <w:rsid w:val="00F7264D"/>
    <w:rsid w:val="00F80C33"/>
    <w:rsid w:val="00F83EFE"/>
    <w:rsid w:val="00F84559"/>
    <w:rsid w:val="00F9047B"/>
    <w:rsid w:val="00F92AD9"/>
    <w:rsid w:val="00F95023"/>
    <w:rsid w:val="00FA1CFA"/>
    <w:rsid w:val="00FA2916"/>
    <w:rsid w:val="00FA4DFE"/>
    <w:rsid w:val="00FA5862"/>
    <w:rsid w:val="00FA5C6B"/>
    <w:rsid w:val="00FA6C8D"/>
    <w:rsid w:val="00FC1020"/>
    <w:rsid w:val="00FC1341"/>
    <w:rsid w:val="00FD1E61"/>
    <w:rsid w:val="00FD27AB"/>
    <w:rsid w:val="00FD2A3F"/>
    <w:rsid w:val="00FD645C"/>
    <w:rsid w:val="00FF4FB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0CF6B-5B41-4DDF-B7A9-D3959EFF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5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04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Elza18</dc:creator>
  <cp:lastModifiedBy>User</cp:lastModifiedBy>
  <cp:revision>6</cp:revision>
  <cp:lastPrinted>2019-07-17T07:30:00Z</cp:lastPrinted>
  <dcterms:created xsi:type="dcterms:W3CDTF">2019-08-05T08:31:00Z</dcterms:created>
  <dcterms:modified xsi:type="dcterms:W3CDTF">2019-08-06T12:38:00Z</dcterms:modified>
</cp:coreProperties>
</file>