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CD" w:rsidRDefault="006825B6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BCD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2A6BCD">
        <w:rPr>
          <w:rFonts w:ascii="Times New Roman" w:eastAsia="Calibri" w:hAnsi="Times New Roman" w:cs="Times New Roman"/>
          <w:b/>
          <w:sz w:val="28"/>
          <w:szCs w:val="28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BCD">
        <w:rPr>
          <w:rFonts w:ascii="Times New Roman" w:eastAsia="Calibri" w:hAnsi="Times New Roman" w:cs="Times New Roman"/>
          <w:b/>
          <w:sz w:val="28"/>
          <w:szCs w:val="28"/>
        </w:rPr>
        <w:t>Аксубаевского муниципального района</w:t>
      </w: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BCD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2A6BCD" w:rsidRPr="002A6BCD" w:rsidRDefault="002A6BCD" w:rsidP="002A6B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2A6BCD" w:rsidRPr="002A6BCD" w:rsidRDefault="002A6BCD" w:rsidP="002A6B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A6BCD" w:rsidRPr="002A6BCD" w:rsidRDefault="006825B6" w:rsidP="002A6B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 </w:t>
      </w:r>
      <w:r w:rsidR="002A6BCD" w:rsidRPr="002A6B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="002A6BC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A6BCD" w:rsidRPr="002A6BCD">
        <w:rPr>
          <w:rFonts w:ascii="Times New Roman" w:eastAsia="Times New Roman" w:hAnsi="Times New Roman" w:cs="Times New Roman"/>
          <w:b/>
          <w:sz w:val="28"/>
          <w:szCs w:val="28"/>
        </w:rPr>
        <w:t xml:space="preserve">  от</w:t>
      </w:r>
      <w:r w:rsidR="00E965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6BCD" w:rsidRPr="002A6BCD" w:rsidRDefault="002A6BCD" w:rsidP="002A6BCD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заключения специальных инвестиционных контрактов администрацией </w:t>
      </w:r>
      <w:proofErr w:type="spellStart"/>
      <w:r w:rsidRPr="002A6BCD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Новоаксубаевского</w:t>
      </w:r>
      <w:proofErr w:type="spellEnd"/>
      <w:r w:rsidRPr="002A6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2A6BCD" w:rsidRPr="002A6BCD" w:rsidRDefault="002A6BCD" w:rsidP="002A6B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6BCD" w:rsidRPr="002A6BCD" w:rsidRDefault="002A6BCD" w:rsidP="002A6BC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соответствии с  частью 4  статьи  16 Федерального закона  от 31.12.2014  № 488-ФЗ  «</w:t>
      </w:r>
      <w:r w:rsidRPr="002A6BCD">
        <w:rPr>
          <w:rFonts w:ascii="Times New Roman" w:eastAsia="Calibri" w:hAnsi="Times New Roman" w:cs="Times New Roman"/>
          <w:sz w:val="28"/>
          <w:szCs w:val="28"/>
        </w:rPr>
        <w:t xml:space="preserve">О промышленной политике в Российской Федерации», Исполнительный комитет </w:t>
      </w:r>
      <w:proofErr w:type="spellStart"/>
      <w:r w:rsidRPr="002A6BCD">
        <w:rPr>
          <w:rFonts w:ascii="Times New Roman" w:eastAsia="Calibri" w:hAnsi="Times New Roman" w:cs="Times New Roman"/>
          <w:sz w:val="28"/>
          <w:szCs w:val="28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</w:t>
      </w:r>
    </w:p>
    <w:p w:rsidR="002A6BCD" w:rsidRPr="002A6BCD" w:rsidRDefault="002A6BCD" w:rsidP="002A6BC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6BCD" w:rsidRPr="002A6BCD" w:rsidRDefault="002A6BCD" w:rsidP="002A6BC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A6B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ПОСТАНОВЛЯЕТ:</w:t>
      </w:r>
    </w:p>
    <w:p w:rsidR="002A6BCD" w:rsidRPr="002A6BCD" w:rsidRDefault="002A6BCD" w:rsidP="002A6BCD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6BCD" w:rsidRPr="002A6BCD" w:rsidRDefault="002A6BCD" w:rsidP="002A6BC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>1.Утвердить:</w:t>
      </w:r>
    </w:p>
    <w:p w:rsidR="002A6BCD" w:rsidRPr="002A6BCD" w:rsidRDefault="002A6BCD" w:rsidP="002A6BC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Порядок  заключения специальных инвестиционных контрактов   администрацией  </w:t>
      </w:r>
      <w:proofErr w:type="spellStart"/>
      <w:r w:rsidRPr="002A6BCD">
        <w:rPr>
          <w:rFonts w:ascii="Times New Roman" w:eastAsia="Calibri" w:hAnsi="Times New Roman" w:cs="Times New Roman"/>
          <w:bCs/>
          <w:sz w:val="28"/>
          <w:szCs w:val="28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поселения   согласно  Приложению № 1.</w:t>
      </w:r>
    </w:p>
    <w:p w:rsidR="002A6BCD" w:rsidRPr="002A6BCD" w:rsidRDefault="002A6BCD" w:rsidP="002A6BC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Форму заявления инвестора о заключении специального инвестиционного контракта согласно приложению № 2.</w:t>
      </w:r>
    </w:p>
    <w:p w:rsidR="002A6BCD" w:rsidRPr="002A6BCD" w:rsidRDefault="002A6BCD" w:rsidP="002A6BC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</w:t>
      </w:r>
      <w:r w:rsidRPr="002A6BCD">
        <w:rPr>
          <w:rFonts w:ascii="Times New Roman" w:eastAsia="Calibri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2A6BCD" w:rsidRPr="002A6BCD" w:rsidRDefault="002A6BCD" w:rsidP="002A6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постановление  на информационных стендах </w:t>
      </w:r>
      <w:proofErr w:type="spellStart"/>
      <w:r w:rsidRPr="002A6BCD">
        <w:rPr>
          <w:rFonts w:ascii="Times New Roman" w:eastAsia="Times New Roman" w:hAnsi="Times New Roman" w:cs="Times New Roman"/>
          <w:sz w:val="28"/>
          <w:szCs w:val="28"/>
        </w:rPr>
        <w:t>Новоаксубаевскогоо</w:t>
      </w:r>
      <w:proofErr w:type="spellEnd"/>
      <w:r w:rsidRPr="002A6B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разместить на  официальном сайте Аксубаевского муниципального района Республики Татарстан   (</w:t>
      </w:r>
      <w:hyperlink w:history="1"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2A6B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)  и</w:t>
        </w:r>
      </w:hyperlink>
      <w:r w:rsidRPr="002A6BCD">
        <w:rPr>
          <w:rFonts w:ascii="Times New Roman" w:eastAsia="Times New Roman" w:hAnsi="Times New Roman" w:cs="Times New Roman"/>
          <w:sz w:val="28"/>
          <w:szCs w:val="28"/>
        </w:rPr>
        <w:t xml:space="preserve"> портале правовой информации</w:t>
      </w:r>
    </w:p>
    <w:p w:rsidR="002A6BCD" w:rsidRPr="002A6BCD" w:rsidRDefault="002A6BCD" w:rsidP="002A6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2A6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6BC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обнародования.</w:t>
      </w:r>
    </w:p>
    <w:p w:rsidR="002A6BCD" w:rsidRPr="002A6BCD" w:rsidRDefault="002A6BCD" w:rsidP="002A6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C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A6BC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A6BC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Новоаксубаевского</w:t>
      </w:r>
      <w:proofErr w:type="spellEnd"/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</w:t>
      </w:r>
      <w:proofErr w:type="spellStart"/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М.М.Сулейманкин</w:t>
      </w:r>
      <w:proofErr w:type="spellEnd"/>
    </w:p>
    <w:p w:rsidR="002A6BCD" w:rsidRPr="002A6BCD" w:rsidRDefault="002A6BCD" w:rsidP="002A6B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BCD" w:rsidRPr="002A6BCD" w:rsidRDefault="002A6BCD" w:rsidP="002A6BC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6B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A6BCD" w:rsidRPr="002A6BCD" w:rsidRDefault="002A6BCD" w:rsidP="002A6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BCD" w:rsidRPr="002A6BCD" w:rsidRDefault="002A6BCD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BCD" w:rsidRDefault="002A6BCD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81A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Приложение N1 </w:t>
      </w:r>
    </w:p>
    <w:p w:rsidR="00520FC2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455E61" w:rsidRPr="00C02940" w:rsidRDefault="00E96540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8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55E61"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заключения специальных инвестиционных контрактов администрацией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A6BCD">
        <w:rPr>
          <w:rFonts w:ascii="Times New Roman" w:eastAsia="Calibri" w:hAnsi="Times New Roman" w:cs="Times New Roman"/>
          <w:bCs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Настоящий Порядок  заключения специальных инвестиционных контрактов  администрацией </w:t>
      </w:r>
      <w:proofErr w:type="spellStart"/>
      <w:r w:rsidRPr="002A6BCD">
        <w:rPr>
          <w:rFonts w:ascii="Times New Roman" w:eastAsia="Calibri" w:hAnsi="Times New Roman" w:cs="Times New Roman"/>
          <w:bCs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2A6BC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(далее Порядок) устанавливает механизм заключения специальных инвестиционных контрактов   администрацией</w:t>
      </w:r>
      <w:r w:rsidRPr="002A6B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A6BCD">
        <w:rPr>
          <w:rFonts w:ascii="Times New Roman" w:eastAsia="Calibri" w:hAnsi="Times New Roman" w:cs="Times New Roman"/>
          <w:bCs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, за исключением специальных инвестиционных контрактов, заключаемых с участием Российской Федерации и  (или)  Республики Татарстан.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32"/>
      <w:bookmarkEnd w:id="0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Специальный инвестиционный контракт заключается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имени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 образования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B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Аксубаевского </w:t>
      </w:r>
      <w:r w:rsidRPr="002A6BC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сельское поселение )     адми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нистрацией </w:t>
      </w:r>
      <w:r w:rsidRPr="002A6BC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поселения   муниципального района 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(далее – Администрация),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 своими силами или с привлечением иных лиц создать, либо модернизировать, и (или) освоить новое промышленное производство на территории </w:t>
      </w:r>
      <w:r w:rsidRPr="002A6B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 образования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Новоаксубаевское</w:t>
      </w:r>
      <w:proofErr w:type="spellEnd"/>
      <w:r w:rsidRPr="002A6B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сельское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поселение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инвестор, привлеченное лицо, инвестиционный проект).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 муниципального  образования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Новоаксубаевское</w:t>
      </w:r>
      <w:proofErr w:type="spellEnd"/>
      <w:r w:rsidRPr="002A6B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сельское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поселение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, в рамках которых реализуются инвестиционные проекты.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37"/>
      <w:bookmarkEnd w:id="1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 заявление по форме, утвержденной постановлением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, с приложением: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из числа мер,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предусмотренных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муниципальными правовыми актами, которые инвестор предлагает включить в специальный инвестиционный контракт;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г) сведений: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объем налогов, планируемых к уплате по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52"/>
      <w:bookmarkEnd w:id="2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</w:t>
      </w:r>
      <w:hyperlink r:id="rId7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Подтверждающими документами, предусмотренными </w:t>
      </w:r>
      <w:hyperlink r:id="rId8" w:anchor="P52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5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66"/>
      <w:bookmarkEnd w:id="3"/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9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43"/>
      <w:bookmarkEnd w:id="4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 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   не позднее 30 рабочих дней со дня поступления документов, указанных в </w:t>
      </w:r>
      <w:hyperlink r:id="rId10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пунктах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-8 настоящего Порядка, направляет их с предварительным заключением, подписанным Главой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 соответствии заявления инвестора и представленных документов </w:t>
      </w:r>
      <w:hyperlink r:id="rId11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P69"/>
      <w:bookmarkEnd w:id="5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межведомственной комиссии по оценке возможности </w:t>
      </w:r>
      <w:proofErr w:type="gramStart"/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заключения специальных инвестиционных контрактов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утвержденного Администрацией подготавливает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При подготовке заключения, указанного в </w:t>
      </w:r>
      <w:hyperlink r:id="rId12" w:anchor="P69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</w:t>
      </w:r>
      <w:hyperlink r:id="rId13" w:anchor="P39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пункте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11. Комиссия не позднее 60 рабочих дней со дня поступления в Администрацию документов, указанных в </w:t>
      </w:r>
      <w:hyperlink r:id="rId14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пунктах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-7 настоящего Порядка, направляет  Главе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заключение, в котором содержится: 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инвестиционный проект не соответствует целям, указанным в </w:t>
      </w:r>
      <w:hyperlink r:id="rId15" w:anchor="P32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пункте 2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</w:t>
      </w:r>
      <w:hyperlink r:id="rId16" w:anchor="P36" w:history="1">
        <w:r w:rsidRPr="002A6BC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 4</w:t>
        </w:r>
      </w:hyperlink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-8 настоящего Порядка;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 актам.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14. Заключение комиссии направляется Администрацией  в течение 10 рабочих дней со дня его получения лицам, участвующим в заключени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 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 комиссии.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16. 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неполучения Администрацией 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специального инвестиционного контракта.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</w:t>
      </w:r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2A6BCD">
        <w:rPr>
          <w:rFonts w:ascii="Times New Roman" w:eastAsia="Calibri" w:hAnsi="Times New Roman" w:cs="Times New Roman"/>
          <w:sz w:val="24"/>
          <w:szCs w:val="24"/>
        </w:rPr>
        <w:t>Новоаксубаевского</w:t>
      </w:r>
      <w:proofErr w:type="spellEnd"/>
      <w:r w:rsidRPr="002A6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подписывает специальный инвестиционный контракт.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6BCD">
        <w:rPr>
          <w:rFonts w:ascii="Times New Roman" w:eastAsia="Calibri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 указанным участникам специального инвестиционного контракта.</w:t>
      </w:r>
    </w:p>
    <w:p w:rsidR="002A6BCD" w:rsidRPr="002A6BCD" w:rsidRDefault="002A6BCD" w:rsidP="002A6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BCD" w:rsidRPr="00C02940" w:rsidRDefault="002A6BCD" w:rsidP="002A6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Приложение N2 </w:t>
      </w: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N  </w:t>
      </w:r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7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8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9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20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аффилированными лицами ___________________________________________</w:t>
      </w:r>
    </w:p>
    <w:p w:rsidR="00455E61" w:rsidRPr="00C02940" w:rsidRDefault="00455E61" w:rsidP="00455E6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21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2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23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24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455E61" w:rsidRPr="00C02940" w:rsidRDefault="006825B6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455E61"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455E61"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2191"/>
        <w:gridCol w:w="558"/>
        <w:gridCol w:w="3479"/>
      </w:tblGrid>
      <w:tr w:rsidR="00455E61" w:rsidRPr="00C02940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2009"/>
        <w:gridCol w:w="488"/>
        <w:gridCol w:w="3164"/>
      </w:tblGrid>
      <w:tr w:rsidR="00455E61" w:rsidRPr="00C02940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2A1C02" w:rsidRPr="00C02940" w:rsidRDefault="002A1C02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3E2AE5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AE5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3E2A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E2AE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  </w:t>
      </w:r>
      <w:bookmarkStart w:id="6" w:name="P0020"/>
      <w:bookmarkEnd w:id="6"/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455E61" w:rsidRPr="00C02940" w:rsidRDefault="00455E61" w:rsidP="00C02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(1-й вариант)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6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5421"/>
        <w:gridCol w:w="4010"/>
      </w:tblGrid>
      <w:tr w:rsidR="00455E61" w:rsidRPr="00C02940" w:rsidTr="00455E61">
        <w:trPr>
          <w:trHeight w:val="15"/>
          <w:tblCellSpacing w:w="15" w:type="dxa"/>
        </w:trPr>
        <w:tc>
          <w:tcPr>
            <w:tcW w:w="85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об инвестиционной деятельности, другие источники),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(указывается докумен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298"/>
        <w:gridCol w:w="1183"/>
        <w:gridCol w:w="1759"/>
        <w:gridCol w:w="1211"/>
        <w:gridCol w:w="1201"/>
        <w:gridCol w:w="1534"/>
        <w:gridCol w:w="1450"/>
      </w:tblGrid>
      <w:tr w:rsidR="00455E61" w:rsidRPr="00C02940" w:rsidTr="00455E61">
        <w:trPr>
          <w:trHeight w:val="15"/>
          <w:tblCellSpacing w:w="15" w:type="dxa"/>
        </w:trPr>
        <w:tc>
          <w:tcPr>
            <w:tcW w:w="51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426"/>
        <w:gridCol w:w="1591"/>
        <w:gridCol w:w="1590"/>
        <w:gridCol w:w="1629"/>
        <w:gridCol w:w="2319"/>
      </w:tblGrid>
      <w:tr w:rsidR="00455E61" w:rsidRPr="00C02940" w:rsidTr="00455E61">
        <w:trPr>
          <w:trHeight w:val="15"/>
          <w:tblCellSpacing w:w="15" w:type="dxa"/>
        </w:trPr>
        <w:tc>
          <w:tcPr>
            <w:tcW w:w="632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компонентов (оборудования) иностранного происхождения в цене промышленной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 (%)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105"/>
        <w:gridCol w:w="4204"/>
        <w:gridCol w:w="3219"/>
      </w:tblGrid>
      <w:tr w:rsidR="00455E61" w:rsidRPr="00C02940" w:rsidTr="00455E61">
        <w:trPr>
          <w:trHeight w:val="15"/>
          <w:tblCellSpacing w:w="15" w:type="dxa"/>
        </w:trPr>
        <w:tc>
          <w:tcPr>
            <w:tcW w:w="667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7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документа к заявлению.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В случае,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&lt;******&gt; Данный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C02940" w:rsidRDefault="00455E61" w:rsidP="00C02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8" w:history="1">
        <w:r w:rsidRPr="00C029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Заявлению о заключении специального инвестиционного контракта</w:t>
      </w: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455E61" w:rsidRPr="00C02940" w:rsidRDefault="00455E61" w:rsidP="00455E6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эффективности(указывается в случае, если наилучшие доступные технологии внедряются на промышленном предприятии, осуществляющем деятельность на объектах I категории, определенных в соответствии с законодательством Российской Федерации в области охраны окружающей среды).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6071"/>
      </w:tblGrid>
      <w:tr w:rsidR="00455E61" w:rsidRPr="00C02940" w:rsidTr="00C02940">
        <w:trPr>
          <w:trHeight w:val="15"/>
          <w:tblCellSpacing w:w="15" w:type="dxa"/>
        </w:trPr>
        <w:tc>
          <w:tcPr>
            <w:tcW w:w="51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134"/>
        <w:gridCol w:w="3779"/>
        <w:gridCol w:w="3604"/>
      </w:tblGrid>
      <w:tr w:rsidR="00455E61" w:rsidRPr="00C02940" w:rsidTr="00455E61">
        <w:trPr>
          <w:trHeight w:val="15"/>
          <w:tblCellSpacing w:w="15" w:type="dxa"/>
        </w:trPr>
        <w:tc>
          <w:tcPr>
            <w:tcW w:w="57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эксплуатацию)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382"/>
        <w:gridCol w:w="1566"/>
        <w:gridCol w:w="1565"/>
        <w:gridCol w:w="1555"/>
        <w:gridCol w:w="2480"/>
      </w:tblGrid>
      <w:tr w:rsidR="00455E61" w:rsidRPr="00C02940" w:rsidTr="00455E6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9" w:history="1">
              <w:r w:rsidRPr="00C02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106"/>
        <w:gridCol w:w="4211"/>
        <w:gridCol w:w="3225"/>
      </w:tblGrid>
      <w:tr w:rsidR="00455E61" w:rsidRPr="00C02940" w:rsidTr="00455E61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Дополнительные условия, предлагаемые инвестором для включения в специальный инвестиционный контракт:_____________________</w:t>
      </w:r>
      <w:r w:rsid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случае,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"Введено/Не введено"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Данный раздел не заполняется в случае, если привлеченное лицо не участвует в заключении специального инвестиционного контракта.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P003E"/>
      <w:bookmarkEnd w:id="7"/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455E61" w:rsidRPr="00C02940" w:rsidRDefault="00455E61" w:rsidP="00C02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  (3-й вариант)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30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31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309"/>
        <w:gridCol w:w="1194"/>
        <w:gridCol w:w="1687"/>
        <w:gridCol w:w="1222"/>
        <w:gridCol w:w="1211"/>
        <w:gridCol w:w="1547"/>
        <w:gridCol w:w="1463"/>
      </w:tblGrid>
      <w:tr w:rsidR="00455E61" w:rsidRPr="00C02940" w:rsidTr="00455E61">
        <w:trPr>
          <w:trHeight w:val="15"/>
          <w:tblCellSpacing w:w="15" w:type="dxa"/>
        </w:trPr>
        <w:tc>
          <w:tcPr>
            <w:tcW w:w="49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442"/>
        <w:gridCol w:w="1597"/>
        <w:gridCol w:w="1596"/>
        <w:gridCol w:w="1589"/>
        <w:gridCol w:w="2329"/>
      </w:tblGrid>
      <w:tr w:rsidR="00455E61" w:rsidRPr="00C02940" w:rsidTr="00455E6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обязательства привлеченного лица в ходе реализации инвестиционного проекта)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106"/>
        <w:gridCol w:w="4211"/>
        <w:gridCol w:w="3225"/>
      </w:tblGrid>
      <w:tr w:rsidR="00455E61" w:rsidRPr="00C02940" w:rsidTr="00455E61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vAlign w:val="center"/>
            <w:hideMark/>
          </w:tcPr>
          <w:p w:rsidR="00455E61" w:rsidRPr="00C02940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нормативного правового акта или муниципального правового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применяться мера </w:t>
            </w: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стимулирования (инвестор или привлеченное лицо) </w:t>
            </w:r>
          </w:p>
        </w:tc>
      </w:tr>
      <w:tr w:rsidR="00455E61" w:rsidRPr="00C02940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C02940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В случае,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Данный раздел не заполняется в случае, если привлеченное лицо не участвует в заключении специального инвестиционного контракта.</w:t>
      </w:r>
      <w:bookmarkStart w:id="8" w:name="P004F"/>
      <w:bookmarkEnd w:id="8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6BCD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 3 </w:t>
      </w:r>
    </w:p>
    <w:p w:rsidR="00455E61" w:rsidRPr="00C02940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</w:t>
      </w:r>
      <w:r w:rsidR="0068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9" w:name="_GoBack"/>
      <w:bookmarkEnd w:id="9"/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455E61" w:rsidRPr="00C02940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32" w:history="1">
        <w:r w:rsidRPr="00C0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 проекта, не имеет произведенных в Российской Федерации аналогов;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</w:t>
      </w:r>
      <w:proofErr w:type="gram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455E61" w:rsidRPr="00C02940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4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520FC2" w:rsidRPr="00C02940" w:rsidRDefault="00520FC2" w:rsidP="0097256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72569" w:rsidRPr="00C02940" w:rsidRDefault="00972569" w:rsidP="00867DB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72569" w:rsidRPr="00C02940" w:rsidSect="003E2AE5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E5"/>
    <w:rsid w:val="00022301"/>
    <w:rsid w:val="000A461D"/>
    <w:rsid w:val="000C2942"/>
    <w:rsid w:val="001134D2"/>
    <w:rsid w:val="001346F9"/>
    <w:rsid w:val="001B54CB"/>
    <w:rsid w:val="001C1CB9"/>
    <w:rsid w:val="00225BC4"/>
    <w:rsid w:val="00296F35"/>
    <w:rsid w:val="002A1C02"/>
    <w:rsid w:val="002A6BCD"/>
    <w:rsid w:val="002E66DC"/>
    <w:rsid w:val="002F2032"/>
    <w:rsid w:val="00340F21"/>
    <w:rsid w:val="0035552E"/>
    <w:rsid w:val="00360BA5"/>
    <w:rsid w:val="00366F4F"/>
    <w:rsid w:val="003708F1"/>
    <w:rsid w:val="00383CC1"/>
    <w:rsid w:val="003A312F"/>
    <w:rsid w:val="003B4989"/>
    <w:rsid w:val="003C6737"/>
    <w:rsid w:val="003E0704"/>
    <w:rsid w:val="003E2AE5"/>
    <w:rsid w:val="00416C3F"/>
    <w:rsid w:val="00455E61"/>
    <w:rsid w:val="00457262"/>
    <w:rsid w:val="00467E54"/>
    <w:rsid w:val="004A2C9A"/>
    <w:rsid w:val="004C56F7"/>
    <w:rsid w:val="00504B7D"/>
    <w:rsid w:val="00520FC2"/>
    <w:rsid w:val="005670FB"/>
    <w:rsid w:val="00575E41"/>
    <w:rsid w:val="00596718"/>
    <w:rsid w:val="005A1F33"/>
    <w:rsid w:val="005A2FBB"/>
    <w:rsid w:val="005B018A"/>
    <w:rsid w:val="005C7B62"/>
    <w:rsid w:val="005F277B"/>
    <w:rsid w:val="00606EC6"/>
    <w:rsid w:val="00622C00"/>
    <w:rsid w:val="00640FFF"/>
    <w:rsid w:val="00673176"/>
    <w:rsid w:val="006825B6"/>
    <w:rsid w:val="006834E6"/>
    <w:rsid w:val="006A742D"/>
    <w:rsid w:val="006F1F38"/>
    <w:rsid w:val="00715789"/>
    <w:rsid w:val="007425A9"/>
    <w:rsid w:val="007C6D24"/>
    <w:rsid w:val="007E1954"/>
    <w:rsid w:val="007F129F"/>
    <w:rsid w:val="007F3CFC"/>
    <w:rsid w:val="00800C0F"/>
    <w:rsid w:val="00821B0F"/>
    <w:rsid w:val="00866E7D"/>
    <w:rsid w:val="00867DB3"/>
    <w:rsid w:val="00890488"/>
    <w:rsid w:val="00892144"/>
    <w:rsid w:val="008A00AD"/>
    <w:rsid w:val="008A61A9"/>
    <w:rsid w:val="008C451D"/>
    <w:rsid w:val="008F6F9B"/>
    <w:rsid w:val="00917F21"/>
    <w:rsid w:val="0094090E"/>
    <w:rsid w:val="00972569"/>
    <w:rsid w:val="009A5AD9"/>
    <w:rsid w:val="009B4F52"/>
    <w:rsid w:val="00A5019E"/>
    <w:rsid w:val="00A51645"/>
    <w:rsid w:val="00A654BE"/>
    <w:rsid w:val="00A72EFD"/>
    <w:rsid w:val="00A75FCB"/>
    <w:rsid w:val="00A9566F"/>
    <w:rsid w:val="00AA1337"/>
    <w:rsid w:val="00AA4264"/>
    <w:rsid w:val="00AB1D81"/>
    <w:rsid w:val="00AB5627"/>
    <w:rsid w:val="00AD2257"/>
    <w:rsid w:val="00AD71A0"/>
    <w:rsid w:val="00AF0128"/>
    <w:rsid w:val="00AF3CB8"/>
    <w:rsid w:val="00B33FF4"/>
    <w:rsid w:val="00B35D3E"/>
    <w:rsid w:val="00B5316E"/>
    <w:rsid w:val="00B92162"/>
    <w:rsid w:val="00B954A7"/>
    <w:rsid w:val="00BB473C"/>
    <w:rsid w:val="00C02940"/>
    <w:rsid w:val="00C03E30"/>
    <w:rsid w:val="00C2308C"/>
    <w:rsid w:val="00C42816"/>
    <w:rsid w:val="00C64018"/>
    <w:rsid w:val="00C72EE5"/>
    <w:rsid w:val="00C91C7A"/>
    <w:rsid w:val="00CA6F2C"/>
    <w:rsid w:val="00CB77EF"/>
    <w:rsid w:val="00CD4FAB"/>
    <w:rsid w:val="00D01F53"/>
    <w:rsid w:val="00D12CC5"/>
    <w:rsid w:val="00D36B85"/>
    <w:rsid w:val="00D835D6"/>
    <w:rsid w:val="00D931E5"/>
    <w:rsid w:val="00DA6987"/>
    <w:rsid w:val="00E0590F"/>
    <w:rsid w:val="00E457B5"/>
    <w:rsid w:val="00E735E6"/>
    <w:rsid w:val="00E80AFA"/>
    <w:rsid w:val="00E96540"/>
    <w:rsid w:val="00E967D7"/>
    <w:rsid w:val="00EA3256"/>
    <w:rsid w:val="00EA3937"/>
    <w:rsid w:val="00EC2B38"/>
    <w:rsid w:val="00ED0212"/>
    <w:rsid w:val="00EF42C5"/>
    <w:rsid w:val="00F1481A"/>
    <w:rsid w:val="00FA3355"/>
    <w:rsid w:val="00FB61C0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3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8" Type="http://schemas.openxmlformats.org/officeDocument/2006/relationships/hyperlink" Target="kodeks://link/d?nd=439307301&amp;prevdoc=439307301&amp;point=mark=00000000000000000000000000000000000000000000000000J80DOB" TargetMode="External"/><Relationship Id="rId26" Type="http://schemas.openxmlformats.org/officeDocument/2006/relationships/hyperlink" Target="kodeks://link/d?nd=420289300&amp;prevdoc=439307301&amp;point=mark=000000000000000000000000000000000000000000000000007EC0KF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27690&amp;prevdoc=439307301&amp;point=mark=00000000000000000000000000000000000000000000000000BT60PC" TargetMode="External"/><Relationship Id="rId34" Type="http://schemas.openxmlformats.org/officeDocument/2006/relationships/theme" Target="theme/theme1.xml"/><Relationship Id="rId7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2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7" Type="http://schemas.openxmlformats.org/officeDocument/2006/relationships/hyperlink" Target="kodeks://link/d?nd=439307301&amp;prevdoc=439307301&amp;point=mark=00000000000000000000000000000000000000000000000000J80DOB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20" Type="http://schemas.openxmlformats.org/officeDocument/2006/relationships/hyperlink" Target="kodeks://link/d?nd=901807667&amp;prevdoc=439307301" TargetMode="External"/><Relationship Id="rId29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24" Type="http://schemas.openxmlformats.org/officeDocument/2006/relationships/hyperlink" Target="kodeks://link/d?nd=420289300&amp;prevdoc=439307301" TargetMode="External"/><Relationship Id="rId32" Type="http://schemas.openxmlformats.org/officeDocument/2006/relationships/hyperlink" Target="kodeks://link/d?nd=9004937&amp;prevdoc=439307301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23" Type="http://schemas.openxmlformats.org/officeDocument/2006/relationships/hyperlink" Target="kodeks://link/d?nd=9027690&amp;prevdoc=439307301&amp;point=mark=00000000000000000000000000000000000000000000000000BT60PC" TargetMode="External"/><Relationship Id="rId28" Type="http://schemas.openxmlformats.org/officeDocument/2006/relationships/hyperlink" Target="kodeks://link/d?nd=420289300&amp;prevdoc=439307301&amp;point=mark=000000000000000000000000000000000000000000000000007EC0KF" TargetMode="External"/><Relationship Id="rId10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9" Type="http://schemas.openxmlformats.org/officeDocument/2006/relationships/hyperlink" Target="kodeks://link/d?nd=439307301&amp;prevdoc=439307301&amp;point=mark=00000000000000000000000000000000000000000000000000J80DOB" TargetMode="External"/><Relationship Id="rId31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14" Type="http://schemas.openxmlformats.org/officeDocument/2006/relationships/hyperlink" Target="../../../../../../../../Users/prom16_2/AppData/Local/Microsoft/Windows/Temporary%20Internet%20Files/Content.IE5/7EBOM7A6/&#1055;&#1088;&#1072;&#1074;&#1080;&#1083;&#1072;%20&#1079;&#1072;&#1082;&#1083;&#1102;&#1095;&#1077;&#1085;&#1080;&#1103;%20%20&#1057;&#1055;&#1048;&#1050;%20&#1087;&#1088;&#1072;&#1074;&#1082;&#1072;%20(1).docx" TargetMode="External"/><Relationship Id="rId22" Type="http://schemas.openxmlformats.org/officeDocument/2006/relationships/hyperlink" Target="kodeks://link/d?nd=9027690&amp;prevdoc=439307301" TargetMode="External"/><Relationship Id="rId27" Type="http://schemas.openxmlformats.org/officeDocument/2006/relationships/hyperlink" Target="kodeks://link/d?nd=420289300&amp;prevdoc=439307301&amp;point=mark=000000000000000000000000000000000000000000000000007EC0KF" TargetMode="External"/><Relationship Id="rId30" Type="http://schemas.openxmlformats.org/officeDocument/2006/relationships/hyperlink" Target="kodeks://link/d?nd=420289300&amp;prevdoc=439307301&amp;point=mark=000000000000000000000000000000000000000000000000007EC0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761F-A3C2-4D3E-A985-E3C1EB0A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7295</Words>
  <Characters>41586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2020-03-02T09:44:00Z</cp:lastPrinted>
  <dcterms:created xsi:type="dcterms:W3CDTF">2020-03-02T09:05:00Z</dcterms:created>
  <dcterms:modified xsi:type="dcterms:W3CDTF">2020-03-03T09:28:00Z</dcterms:modified>
</cp:coreProperties>
</file>