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C6" w:rsidRDefault="00E438C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38C6" w:rsidRDefault="00E438C6" w:rsidP="00E438C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4B3E26" w:rsidRPr="004B3E26" w:rsidRDefault="004B3E26" w:rsidP="00E438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СТАРОИЛЬДЕРЯКОВСКОЕ СЕЛЬСКОЕ ПОСЕЛЕНИЕ 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3E26" w:rsidRPr="004B3E26" w:rsidRDefault="00E438C6" w:rsidP="004B3E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Старое Ильдеряково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</w:p>
    <w:p w:rsidR="004B3E26" w:rsidRPr="004B3E26" w:rsidRDefault="004B3E26" w:rsidP="004B3E26">
      <w:pPr>
        <w:shd w:val="clear" w:color="auto" w:fill="FFFFFF"/>
        <w:spacing w:after="0" w:line="276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Об утверждении Порядка формирования перечня налоговых расходов Староильдеряковского сельского поселения и оценки налоговых расходов Староильдеряковского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76" w:lineRule="auto"/>
        <w:outlineLvl w:val="0"/>
        <w:rPr>
          <w:rFonts w:ascii="Arial" w:hAnsi="Arial" w:cs="Arial"/>
          <w:bCs/>
          <w:kern w:val="36"/>
          <w:sz w:val="24"/>
          <w:szCs w:val="24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»,  Исполнительный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4B3E26">
        <w:rPr>
          <w:rFonts w:ascii="Times New Roman" w:hAnsi="Times New Roman"/>
          <w:bCs/>
          <w:sz w:val="28"/>
          <w:szCs w:val="28"/>
          <w:lang w:eastAsia="ru-RU"/>
        </w:rPr>
        <w:t>ПОСТАНОВЛЯЕТ: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1.Утвердить Порядок формирования перечня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оценки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законную силу с 01 января 2020 года. </w:t>
      </w:r>
    </w:p>
    <w:p w:rsidR="004B3E26" w:rsidRPr="004B3E26" w:rsidRDefault="004B3E26" w:rsidP="004B3E26">
      <w:pPr>
        <w:spacing w:after="0" w:line="240" w:lineRule="auto"/>
        <w:ind w:right="20" w:firstLine="480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3. Обнародовать настоящее постановление на информационных стендах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на официальном сайте Аксубаевского муниципального района</w:t>
      </w:r>
      <w:r w:rsidRPr="004B3E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http</w:t>
      </w:r>
      <w:r w:rsidRPr="004B3E26">
        <w:rPr>
          <w:rFonts w:ascii="Times New Roman" w:hAnsi="Times New Roman"/>
          <w:b/>
          <w:sz w:val="28"/>
          <w:szCs w:val="28"/>
          <w:lang w:eastAsia="ru-RU"/>
        </w:rPr>
        <w:t xml:space="preserve">:// </w:t>
      </w:r>
      <w:proofErr w:type="spellStart"/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aksubayevo</w:t>
      </w:r>
      <w:proofErr w:type="spellEnd"/>
      <w:r w:rsidRPr="004B3E26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tatarstan</w:t>
      </w:r>
      <w:proofErr w:type="spellEnd"/>
      <w:r w:rsidRPr="004B3E26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и опубликовать на портале правовой информации 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htt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р: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pravo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B3E26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3E2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Руководитель исполнительного комитета</w:t>
      </w:r>
    </w:p>
    <w:p w:rsidR="004B3E26" w:rsidRPr="004B3E26" w:rsidRDefault="004B3E26" w:rsidP="004B3E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поселения:   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>      </w:t>
      </w:r>
      <w:r w:rsidRPr="004B3E26">
        <w:rPr>
          <w:rFonts w:ascii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hAnsi="Times New Roman"/>
          <w:sz w:val="28"/>
          <w:szCs w:val="28"/>
          <w:lang w:eastAsia="ru-RU"/>
        </w:rPr>
        <w:tab/>
        <w:t xml:space="preserve">В.К. 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Альметкин</w:t>
      </w:r>
      <w:proofErr w:type="spellEnd"/>
    </w:p>
    <w:p w:rsidR="004B3E26" w:rsidRPr="004B3E26" w:rsidRDefault="004B3E26" w:rsidP="004B3E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     </w:t>
      </w: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</w:p>
    <w:p w:rsidR="004B3E26" w:rsidRPr="004B3E26" w:rsidRDefault="004B3E26" w:rsidP="004B3E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B3E26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B3E26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E438C6">
        <w:rPr>
          <w:rFonts w:ascii="Times New Roman" w:hAnsi="Times New Roman"/>
          <w:sz w:val="24"/>
          <w:szCs w:val="24"/>
          <w:lang w:eastAsia="ru-RU"/>
        </w:rPr>
        <w:t>проекту постановления</w:t>
      </w:r>
      <w:r w:rsidRPr="004B3E26">
        <w:rPr>
          <w:rFonts w:ascii="Times New Roman" w:hAnsi="Times New Roman"/>
          <w:sz w:val="24"/>
          <w:szCs w:val="24"/>
          <w:lang w:eastAsia="ru-RU"/>
        </w:rPr>
        <w:t xml:space="preserve"> Исполнительного комитета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B3E26">
        <w:rPr>
          <w:rFonts w:ascii="Times New Roman" w:hAnsi="Times New Roman"/>
          <w:sz w:val="24"/>
          <w:szCs w:val="24"/>
          <w:lang w:eastAsia="ru-RU"/>
        </w:rPr>
        <w:t>Староильдеряковского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B3E2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E438C6">
        <w:rPr>
          <w:rFonts w:ascii="Times New Roman" w:hAnsi="Times New Roman"/>
          <w:sz w:val="24"/>
          <w:szCs w:val="24"/>
          <w:lang w:eastAsia="ru-RU"/>
        </w:rPr>
        <w:t xml:space="preserve">       .                    №</w:t>
      </w:r>
      <w:r w:rsidRPr="004B3E2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438C6">
        <w:rPr>
          <w:rFonts w:ascii="Times New Roman" w:hAnsi="Times New Roman"/>
          <w:sz w:val="24"/>
          <w:szCs w:val="24"/>
          <w:lang w:eastAsia="ru-RU"/>
        </w:rPr>
        <w:t xml:space="preserve">                от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Порядок формирования перечня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налоговых расходов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Староильдеряковского</w:t>
      </w:r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и оценки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I. Общие положения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1.Настоящий Порядок определяет процедуру формирования перечня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реестра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методику оценки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(далее - налоговые расходы).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2.В целях настоящего Порядка применяются следующие понятия и термины: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выпадающие доходы бюджета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(или) целями социально-экономической политики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не относящимися к муниципальным программам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куратор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ответственный исполнитель муниципальной программы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(ее структурных элементов) и (или) целей социально-экономического развития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не относящихся к муниципальным программам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нераспределенные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налоговые расходы, соответствующие целям социально-экономической политики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реализуемым в рамках нескольких муниципальных программ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(муниципальных программ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непрограммных направлений деятельности);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социальные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отдельным социально </w:t>
      </w: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технические (финансовые)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стимулирующие налоговые расходы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нормативные характеристики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целевые характеристики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фискальные характеристики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а также иные характеристики, предусмотренные разделом III приложения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перечень налоговых расходов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 - свод (перечень) налоговых расходов в разрезе муниципальных программ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их структурных элементов, а также направлений деятельности, не входящих в муниципальные программы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реестр налоговых расходов</w:t>
      </w:r>
      <w:r w:rsidRPr="004B3E26">
        <w:rPr>
          <w:rFonts w:ascii="Times New Roman" w:hAnsi="Times New Roman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паспорт налогового расхода</w:t>
      </w:r>
      <w:r w:rsidRPr="004B3E26">
        <w:rPr>
          <w:rFonts w:ascii="Times New Roman" w:hAnsi="Times New Roman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3.В целях оценки налоговых расходов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а) формирует перечень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б) ведет реестр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4.В целях оценки налоговых расходов главные администраторы доходов бюджета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формируют и представляют 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5.В целях оценки налоговых расходов кураторы налоговых расходов: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а) формируют паспорта налоговых расходов, содержащие информацию по перечню согласно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приложению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II. Формирование перечня налоговых расходов. Формирование и ведение реестра налоговых расходов</w:t>
      </w:r>
    </w:p>
    <w:p w:rsidR="004B3E26" w:rsidRPr="004B3E26" w:rsidRDefault="004B3E26" w:rsidP="004B3E26">
      <w:pPr>
        <w:shd w:val="clear" w:color="auto" w:fill="FFFFFF"/>
        <w:tabs>
          <w:tab w:val="left" w:pos="0"/>
        </w:tabs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ежегодно в срок до 25 марта текущего финансового года и направляется на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согласование  ответственным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исполнителям муниципальных программ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В случае если результаты рассмотрения не направлены 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При наличии разногласий по проекту перечня налоговых расходов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Аксубаевского муниципального района на странице Исполнительного комитета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"Интернет".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соответствующую информацию для уточнения указанного перечня.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 и плановый период).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11. Реестр налоговых расходов формируется и ведется в порядке, установленном Исполнительным комитетом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sz w:val="28"/>
          <w:szCs w:val="28"/>
          <w:lang w:eastAsia="ru-RU"/>
        </w:rPr>
        <w:t>III. Оценка эффективности налоговых расходов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    12. Методики оценки эффективности налоговых расходов формируются кураторами соответствующих налоговых расходов и утверждаются ими по </w:t>
      </w: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согласованию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с  Исполнительным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комитетом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      13.В целях оценки эффективности налоговых расходов: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14.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оценку целесообразности предоставления налоговых расходов;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оценку результативности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15. Критериями целесообразности осуществления налоговых расходов являются: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(в отношении непрограммных налоговых расходов);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востребованность льготы, освобождения или иной преференции.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17. В качестве критерия результативности определяется не менее одного показателя (индикатора):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>18.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19. В целях проведения оценки бюджетной эффективности налоговых расходов осуществляется: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затратности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предоставление муниципальных гарантий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 обязательствам соответствующих категорий налогоплательщиков;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51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10D303AC" wp14:editId="0A40A50B">
            <wp:extent cx="20288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где:              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i - порядковый номер года, имеющий значение от 1 до 5;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m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 - - количество налогоплательщиков - бенефициаров налогового расхода в i-ом году;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N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ij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объем налогов, сборов и платежей, задекларированных для уплаты получателями налоговых расходов, в консолидированный бюджет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i-ом году.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налогоплательщиков - бенефициаров налогового расхода в отчетном году, текущем году, очередном году и (или) плановом </w:t>
      </w: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периоде оценивается (прогнозируется) по данным куратора налогового расхода и Исполнительного комитета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g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 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r - расчетная стоимость среднесрочных рыночных заимствований муниципального образования, принимаемая на уровне 7,5 процентов.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B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 w:rsidRPr="004B3E26">
        <w:rPr>
          <w:rFonts w:ascii="Times New Roman" w:hAnsi="Times New Roman"/>
          <w:sz w:val="28"/>
          <w:szCs w:val="28"/>
          <w:lang w:eastAsia="ru-RU"/>
        </w:rPr>
        <w:t> 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базовом году, рассчитываемый по формуле:  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Boj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Noj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Loj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>,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N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 w:rsidRPr="004B3E26">
        <w:rPr>
          <w:rFonts w:ascii="Times New Roman" w:hAnsi="Times New Roman"/>
          <w:sz w:val="28"/>
          <w:szCs w:val="28"/>
          <w:lang w:eastAsia="ru-RU"/>
        </w:rPr>
        <w:t> - 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базовом году;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L</w:t>
      </w:r>
      <w:r w:rsidRPr="004B3E2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 w:rsidRPr="004B3E26">
        <w:rPr>
          <w:rFonts w:ascii="Times New Roman" w:hAnsi="Times New Roman"/>
          <w:sz w:val="28"/>
          <w:szCs w:val="28"/>
          <w:lang w:eastAsia="ru-RU"/>
        </w:rPr>
        <w:t> - объем налоговых расходов по соответствующему налогу (иному платежу) в пользу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 бенефициара налогового расхода в базовом году.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Под базовым годом понимается год, предшествующий году начала осуществления налогового расхода в пользу j-</w:t>
      </w:r>
      <w:proofErr w:type="spellStart"/>
      <w:r w:rsidRPr="004B3E2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налогоплательщика 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20.По итогам оценки результативности формируется заключение: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 значимости вклада налоговых расходов в достижение соответствующих показателей (индикаторов);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расходов  Исполнительного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комитета </w:t>
      </w:r>
      <w:r w:rsidR="00E438C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Староильдеряковского </w:t>
      </w:r>
      <w:bookmarkStart w:id="0" w:name="_GoBack"/>
      <w:bookmarkEnd w:id="0"/>
      <w:r w:rsidRPr="004B3E26">
        <w:rPr>
          <w:rFonts w:ascii="Times New Roman" w:hAnsi="Times New Roman"/>
          <w:sz w:val="28"/>
          <w:szCs w:val="28"/>
          <w:lang w:eastAsia="ru-RU"/>
        </w:rPr>
        <w:t>сельского поселения в срок до 10 августа текущего финансового года.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lastRenderedPageBreak/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утвержденным постановлением Исполнительного комитета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обобщает результаты оценки и рекомендации по результатам оценки налоговых расходов.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Приложение к Порядку формирования перечня налоговых расходов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оценки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 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Перечень информации, включаемой в паспорт налогового расхода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br/>
        <w:t>Староильдеряковского сельского поселения</w:t>
      </w:r>
    </w:p>
    <w:p w:rsidR="004B3E26" w:rsidRPr="004B3E26" w:rsidRDefault="004B3E26" w:rsidP="004B3E2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"/>
        <w:gridCol w:w="7155"/>
        <w:gridCol w:w="2709"/>
      </w:tblGrid>
      <w:tr w:rsidR="004B3E26" w:rsidRPr="004B3E26" w:rsidTr="005F33F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4B3E26" w:rsidRPr="004B3E26" w:rsidTr="005F33F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получателей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Условия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 налогового расхода (далее - куратор)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II. Целевые характеристики налогового расхода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4B3E26" w:rsidRPr="004B3E26" w:rsidTr="005F33F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III. Фискальные характеристики налогового расхода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объем налогового расхода за год, предшествующий отчетному финансовому году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доходов, финансового органа *(2)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финансового органа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4B3E26" w:rsidRPr="004B3E26" w:rsidTr="005F33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E26" w:rsidRPr="004B3E26" w:rsidRDefault="004B3E26" w:rsidP="004B3E26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E26">
              <w:rPr>
                <w:rFonts w:ascii="Times New Roman" w:hAnsi="Times New Roman"/>
                <w:sz w:val="24"/>
                <w:szCs w:val="24"/>
                <w:lang w:eastAsia="ru-RU"/>
              </w:rPr>
              <w:t>данные главного           администратора доходов</w:t>
            </w:r>
          </w:p>
        </w:tc>
      </w:tr>
    </w:tbl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-------------------------------------------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>*(1) 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26">
        <w:rPr>
          <w:rFonts w:ascii="Times New Roman" w:hAnsi="Times New Roman"/>
          <w:sz w:val="28"/>
          <w:szCs w:val="28"/>
          <w:lang w:eastAsia="ru-RU"/>
        </w:rPr>
        <w:t xml:space="preserve">*(2) </w:t>
      </w:r>
      <w:proofErr w:type="gramStart"/>
      <w:r w:rsidRPr="004B3E26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4B3E26">
        <w:rPr>
          <w:rFonts w:ascii="Times New Roman" w:hAnsi="Times New Roman"/>
          <w:sz w:val="28"/>
          <w:szCs w:val="28"/>
          <w:lang w:eastAsia="ru-RU"/>
        </w:rPr>
        <w:t xml:space="preserve"> случаях и порядке, предусмотренных пунктом 11 Порядка формирования перечня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оценки налоговых расходов </w:t>
      </w:r>
      <w:r w:rsidRPr="004B3E26">
        <w:rPr>
          <w:rFonts w:ascii="Times New Roman" w:hAnsi="Times New Roman"/>
          <w:bCs/>
          <w:kern w:val="36"/>
          <w:sz w:val="28"/>
          <w:szCs w:val="28"/>
          <w:lang w:eastAsia="ru-RU"/>
        </w:rPr>
        <w:t>Староильдеряковского</w:t>
      </w:r>
      <w:r w:rsidRPr="004B3E2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B3E26" w:rsidRPr="004B3E26" w:rsidRDefault="004B3E26" w:rsidP="004B3E2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B3E26" w:rsidRPr="004B3E26" w:rsidRDefault="004B3E26" w:rsidP="004B3E26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B3E26" w:rsidRPr="004B3E26" w:rsidRDefault="004B3E26" w:rsidP="004B3E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E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B3E26" w:rsidRPr="004B3E26" w:rsidRDefault="004B3E26" w:rsidP="004B3E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5E7" w:rsidRPr="0093360E" w:rsidRDefault="000B25E7" w:rsidP="002F65E9">
      <w:pPr>
        <w:spacing w:after="0" w:line="240" w:lineRule="auto"/>
      </w:pPr>
    </w:p>
    <w:sectPr w:rsidR="000B25E7" w:rsidRPr="0093360E" w:rsidSect="002F65E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74918"/>
    <w:rsid w:val="00183D7A"/>
    <w:rsid w:val="002F65E9"/>
    <w:rsid w:val="003241CB"/>
    <w:rsid w:val="003426D1"/>
    <w:rsid w:val="004A4BAA"/>
    <w:rsid w:val="004B3E26"/>
    <w:rsid w:val="004C4D9B"/>
    <w:rsid w:val="005924D6"/>
    <w:rsid w:val="008B437A"/>
    <w:rsid w:val="0093360E"/>
    <w:rsid w:val="00A02C94"/>
    <w:rsid w:val="00A52236"/>
    <w:rsid w:val="00A64A1C"/>
    <w:rsid w:val="00AA219F"/>
    <w:rsid w:val="00B00F89"/>
    <w:rsid w:val="00B70E04"/>
    <w:rsid w:val="00C11C51"/>
    <w:rsid w:val="00E438C6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2</cp:revision>
  <cp:lastPrinted>2020-03-12T06:33:00Z</cp:lastPrinted>
  <dcterms:created xsi:type="dcterms:W3CDTF">2020-03-19T06:40:00Z</dcterms:created>
  <dcterms:modified xsi:type="dcterms:W3CDTF">2020-03-19T06:40:00Z</dcterms:modified>
</cp:coreProperties>
</file>