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46" w:rsidRPr="00910A46" w:rsidRDefault="00910A46" w:rsidP="00910A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0A46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</w:p>
    <w:p w:rsidR="00910A46" w:rsidRPr="00910A46" w:rsidRDefault="00910A46" w:rsidP="00910A46">
      <w:pPr>
        <w:pStyle w:val="2"/>
        <w:spacing w:after="0"/>
        <w:jc w:val="center"/>
        <w:rPr>
          <w:sz w:val="28"/>
          <w:szCs w:val="28"/>
          <w:lang w:val="ru-RU"/>
        </w:rPr>
      </w:pPr>
      <w:r w:rsidRPr="00910A46">
        <w:rPr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910A46" w:rsidRPr="00910A46" w:rsidRDefault="00910A46" w:rsidP="00910A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0A46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910A46" w:rsidRPr="00910A46" w:rsidRDefault="00910A46" w:rsidP="00910A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10A46" w:rsidRPr="00910A46" w:rsidRDefault="00910A46" w:rsidP="00910A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0A46">
        <w:rPr>
          <w:rFonts w:ascii="Times New Roman" w:hAnsi="Times New Roman"/>
          <w:sz w:val="28"/>
          <w:szCs w:val="28"/>
          <w:lang w:eastAsia="ru-RU"/>
        </w:rPr>
        <w:t xml:space="preserve">       №   </w:t>
      </w:r>
      <w:r w:rsidRPr="00910A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от </w:t>
      </w:r>
      <w:r w:rsidRPr="00910A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sz w:val="28"/>
          <w:szCs w:val="28"/>
          <w:lang w:eastAsia="ru-RU"/>
        </w:rPr>
        <w:t>2020 года</w:t>
      </w:r>
    </w:p>
    <w:p w:rsidR="00910A46" w:rsidRPr="00910A46" w:rsidRDefault="00910A46" w:rsidP="00910A46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      </w:t>
      </w:r>
    </w:p>
    <w:p w:rsidR="00910A46" w:rsidRPr="00910A46" w:rsidRDefault="00910A46" w:rsidP="00910A46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Об утверждении Порядка формирования перечня налоговых расходов </w:t>
      </w:r>
    </w:p>
    <w:p w:rsidR="00910A46" w:rsidRPr="00910A46" w:rsidRDefault="00910A46" w:rsidP="00910A46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сельского поселения и оценки налоговых расходов </w:t>
      </w:r>
    </w:p>
    <w:p w:rsidR="00910A46" w:rsidRPr="00910A46" w:rsidRDefault="00910A46" w:rsidP="00910A46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ПОСТАНОВЛЯЕТ:</w:t>
      </w: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1.Утвердить Порядок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Настоящее постановление опубликовать на информационных </w:t>
      </w:r>
      <w:proofErr w:type="gramStart"/>
      <w:r w:rsidRPr="00910A46">
        <w:rPr>
          <w:rFonts w:ascii="Times New Roman" w:eastAsia="Lucida Sans Unicode" w:hAnsi="Times New Roman"/>
          <w:kern w:val="2"/>
          <w:sz w:val="28"/>
          <w:szCs w:val="28"/>
          <w:lang w:val="en-US" w:eastAsia="ru-RU"/>
        </w:rPr>
        <w:t>c</w:t>
      </w:r>
      <w:proofErr w:type="spellStart"/>
      <w:proofErr w:type="gram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тендах</w:t>
      </w:r>
      <w:proofErr w:type="spell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сельского поселения и в официальном сайте Аксубаевского муниципального района</w:t>
      </w:r>
      <w:r w:rsidRPr="00910A46">
        <w:rPr>
          <w:rFonts w:ascii="Times New Roman" w:hAnsi="Times New Roman"/>
          <w:b/>
          <w:sz w:val="28"/>
          <w:szCs w:val="28"/>
        </w:rPr>
        <w:t xml:space="preserve">       </w:t>
      </w:r>
      <w:r w:rsidRPr="00910A46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910A46">
        <w:rPr>
          <w:rFonts w:ascii="Times New Roman" w:hAnsi="Times New Roman"/>
          <w:b/>
          <w:sz w:val="28"/>
          <w:szCs w:val="28"/>
        </w:rPr>
        <w:t xml:space="preserve">:// </w:t>
      </w:r>
      <w:proofErr w:type="spellStart"/>
      <w:r w:rsidRPr="00910A46">
        <w:rPr>
          <w:rFonts w:ascii="Times New Roman" w:hAnsi="Times New Roman"/>
          <w:b/>
          <w:sz w:val="28"/>
          <w:szCs w:val="28"/>
          <w:lang w:val="en-US"/>
        </w:rPr>
        <w:t>aksubayevo</w:t>
      </w:r>
      <w:proofErr w:type="spellEnd"/>
      <w:r w:rsidRPr="00910A4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0A46">
        <w:rPr>
          <w:rFonts w:ascii="Times New Roman" w:hAnsi="Times New Roman"/>
          <w:b/>
          <w:sz w:val="28"/>
          <w:szCs w:val="28"/>
          <w:lang w:val="en-US"/>
        </w:rPr>
        <w:t>tatarstan</w:t>
      </w:r>
      <w:proofErr w:type="spellEnd"/>
      <w:r w:rsidRPr="00910A4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0A4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,  </w:t>
      </w:r>
      <w:r w:rsidRPr="00910A46">
        <w:rPr>
          <w:rFonts w:ascii="Times New Roman" w:hAnsi="Times New Roman"/>
          <w:sz w:val="28"/>
          <w:szCs w:val="28"/>
          <w:lang w:eastAsia="ru-RU"/>
        </w:rPr>
        <w:t>на официальном сайте правовой информации (//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htt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>р: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pravo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910A46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</w:p>
    <w:p w:rsidR="00910A46" w:rsidRPr="00910A46" w:rsidRDefault="00910A46" w:rsidP="00910A46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10A46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3.</w:t>
      </w:r>
      <w:r w:rsidRPr="00910A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0A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0A46">
        <w:rPr>
          <w:rFonts w:ascii="Times New Roman" w:hAnsi="Times New Roman"/>
          <w:sz w:val="28"/>
          <w:szCs w:val="28"/>
        </w:rPr>
        <w:t xml:space="preserve"> исполнением данного 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Руководитель исполнительного комитета</w:t>
      </w: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         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Д.А.Шарифуллин</w:t>
      </w:r>
      <w:proofErr w:type="spellEnd"/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                                      </w:t>
      </w: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</w:t>
      </w: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10A46" w:rsidRPr="00910A46" w:rsidRDefault="00910A46" w:rsidP="00910A46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lastRenderedPageBreak/>
        <w:t>Приложение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 xml:space="preserve">к постановлению </w:t>
      </w:r>
      <w:proofErr w:type="gramStart"/>
      <w:r w:rsidRPr="00910A46">
        <w:rPr>
          <w:rFonts w:ascii="Times New Roman" w:hAnsi="Times New Roman"/>
          <w:color w:val="333333"/>
          <w:lang w:eastAsia="ru-RU"/>
        </w:rPr>
        <w:t>Исполнительного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 xml:space="preserve">комитета </w:t>
      </w:r>
      <w:proofErr w:type="spellStart"/>
      <w:r w:rsidRPr="00910A46">
        <w:rPr>
          <w:rFonts w:ascii="Times New Roman" w:hAnsi="Times New Roman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lang w:eastAsia="ru-RU"/>
        </w:rPr>
        <w:t xml:space="preserve"> 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left="4248" w:firstLine="708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>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right"/>
        <w:rPr>
          <w:rFonts w:ascii="Times New Roman" w:hAnsi="Times New Roman"/>
          <w:color w:val="333333"/>
          <w:lang w:eastAsia="ru-RU"/>
        </w:rPr>
      </w:pPr>
      <w:r w:rsidRPr="00910A46">
        <w:rPr>
          <w:rFonts w:ascii="Times New Roman" w:hAnsi="Times New Roman"/>
          <w:color w:val="333333"/>
          <w:lang w:eastAsia="ru-RU"/>
        </w:rPr>
        <w:t xml:space="preserve">                                                                           № </w:t>
      </w:r>
      <w:r w:rsidRPr="00910A46">
        <w:rPr>
          <w:rFonts w:ascii="Times New Roman" w:hAnsi="Times New Roman"/>
          <w:color w:val="333333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lang w:eastAsia="ru-RU"/>
        </w:rPr>
        <w:t xml:space="preserve"> от </w:t>
      </w:r>
      <w:r w:rsidRPr="00910A46">
        <w:rPr>
          <w:rFonts w:ascii="Times New Roman" w:hAnsi="Times New Roman"/>
          <w:color w:val="333333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lang w:eastAsia="ru-RU"/>
        </w:rPr>
        <w:t>2020 года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 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Порядок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I. Общие положения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1.Настоящий Порядок определяет процедуру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реестра налоговых расходов</w:t>
      </w:r>
      <w:r w:rsidRPr="00910A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сельского поселения и методику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(далее - налоговые расходы).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2.В целях настоящего Порядка применяются следующие понятия и термины: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выпадающие доходы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(или) целями социально-экономической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не относящимися к муниципальным программам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куратор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ответственный исполнитель муниципальной программы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(ее структурных элементов) и (или) целей социально-экономического развития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не относящихся к муниципальным программам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нераспределенные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налоговые расходы, соответствующие целям социально-экономической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реализуемым в рамках нескольких муниципальных программ</w:t>
      </w:r>
      <w:r w:rsidRPr="00910A46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b/>
          <w:sz w:val="28"/>
          <w:szCs w:val="28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сельского поселения (муниципальных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непрограммных направлений деятельности);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социальные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отдельным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технические (финансовые)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стимулирующие налоговые расходы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нормативные характеристики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целевые характеристики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фискальные характеристики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перечень налоговых расходов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свод (перечень) налоговых расходов в разрезе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правовых актов и международных договоров и сроки действия таких положений;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реестр налоговых расходов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sz w:val="28"/>
          <w:szCs w:val="28"/>
          <w:lang w:eastAsia="ru-RU"/>
        </w:rPr>
        <w:t>паспорт налогового расхода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совокупность данных о нормативных, фискальных и целевых характеристиках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3.В целях оценки налоговых расходов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а) формирует перечень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б) ведет реестр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4.В целях оценки налоговых расходов главные администраторы доходов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формируют и представляют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5.В целях оценки налоговых расходов кураторы налоговых расходов: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а) формируют паспорта налоговых расходов, содержащие информацию по перечню согласно приложению к настоящему Порядку;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II. Формирование перечня налоговых расходов. Формирование и ведение реестра налоговых расходов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tabs>
          <w:tab w:val="left" w:pos="0"/>
        </w:tabs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ежегодно в срок до 25 марта текущего финансового года и направляется на согласование  ответственным исполнителям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7.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расходов, к которым необходимо отнести каждый налоговый расход, в отношении которого имеются замечания).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случае если результаты рассмотрения не направлены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При наличии разногласий по проекту перечня налоговых расходов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Аксубаевского муниципального района на странице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9.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соответствующую информацию для уточнения указанного перечня.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10.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Уточненный перечень налоговых расходов формируется в срок до 1 октября текущего финансового года (в случае уточнения структуры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муниципальных программ в рамках формирования проекта решения о бюджете </w:t>
      </w:r>
      <w:proofErr w:type="spellStart"/>
      <w:r w:rsidRPr="00910A4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поселения на очередной финансовый год и плановый период).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III. Оценка эффективности налоговых расходов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12. Методики оценки эффективности налоговых расходов формируются кураторами соответствующих налоговых расходов и утверждаются ими по согласованию с  Исполнительным комитетом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13.В целях оценки эффективности налоговых расходов: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оценку целесообразности предоставления налоговых расходов;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оценку результативности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15. Критериями целесообразности осуществления налоговых расходов являются: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(в отношении непрограммных налоговых расходов);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востребованность льготы, освобождения или иной преференции.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сформулировать предложения по совершенствованию механизма ее действия.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17. В качестве критерия результативности определяется не менее одного показателя (индикатора):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на 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значение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которого оказывает влияние рассматриваемый налоговый расход;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19. В целях проведения оценки бюджетной эффективности налоговых расходов осуществляется: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затратности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предоставление муниципальных гарантий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по обязательствам соответствующих категорий налогоплательщиков;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в случае если налоговый расход действует более 6 лет на момент проведения оценки эффективности, по следующей формуле*(1):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0A46">
        <w:rPr>
          <w:rFonts w:ascii="Times New Roman" w:eastAsia="Calibri" w:hAnsi="Times New Roman"/>
          <w:noProof/>
          <w:color w:val="FF0000"/>
          <w:position w:val="-29"/>
          <w:sz w:val="28"/>
          <w:szCs w:val="28"/>
          <w:lang w:eastAsia="ru-RU"/>
        </w:rPr>
        <w:drawing>
          <wp:inline distT="0" distB="0" distL="0" distR="0" wp14:anchorId="3CBF423D" wp14:editId="105CEAAA">
            <wp:extent cx="20288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51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где:               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i - порядковый номер года, имеющий значение от 1 до 5;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m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i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- количество налогоплательщиков - бенефициаров налогового расхода в i-ом году;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N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ij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от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i-ом году.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от налогоплательщиков 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g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i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на очередной финансовый год и плановый период, а также целевого уровня</w:t>
      </w:r>
      <w:proofErr w:type="gram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инфляции, определяемого Центральным банком Российской Федерации на среднесрочную перспективу (4 процента);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r - расчетная стоимость среднесрочных рыночных заимствований муниципального образования, принимаемая на уровне 7,5 процентов.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B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0j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базовом году, рассчитываемый по формуле:</w:t>
      </w:r>
      <w:r w:rsidRPr="00910A46">
        <w:rPr>
          <w:rFonts w:ascii="Times New Roman" w:hAnsi="Times New Roman"/>
          <w:sz w:val="28"/>
          <w:szCs w:val="28"/>
        </w:rPr>
        <w:t xml:space="preserve">  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Boj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Noj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+ 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Loj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где: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N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0j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базовом году;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L</w:t>
      </w:r>
      <w:r w:rsidRPr="00910A46">
        <w:rPr>
          <w:rFonts w:ascii="Times New Roman" w:hAnsi="Times New Roman"/>
          <w:color w:val="333333"/>
          <w:sz w:val="28"/>
          <w:szCs w:val="28"/>
          <w:vertAlign w:val="subscript"/>
          <w:lang w:eastAsia="ru-RU"/>
        </w:rPr>
        <w:t>0j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 - объем налоговых расходов по соответствующему налогу (иному платежу) в пользу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 бенефициара налогового расхода в базовом году.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left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20.По итогам оценки результативности формируется заключение: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срок до 10 августа текущего финансового года.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46">
        <w:rPr>
          <w:rFonts w:ascii="Times New Roman" w:hAnsi="Times New Roman"/>
          <w:sz w:val="28"/>
          <w:szCs w:val="28"/>
          <w:lang w:eastAsia="ru-RU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утвержденным постановлением Исполнительного комитета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37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hd w:val="clear" w:color="auto" w:fill="FFFFFF"/>
        <w:spacing w:after="0" w:line="2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Приложение к Порядку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 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lastRenderedPageBreak/>
        <w:t>Перечень информации, включаемой в паспорт налогового расхода</w:t>
      </w:r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br/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сельского поселения</w:t>
      </w:r>
    </w:p>
    <w:p w:rsidR="00910A46" w:rsidRPr="00910A46" w:rsidRDefault="00910A46" w:rsidP="00910A46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"/>
        <w:gridCol w:w="6229"/>
        <w:gridCol w:w="2776"/>
      </w:tblGrid>
      <w:tr w:rsidR="00910A46" w:rsidRPr="00910A46" w:rsidTr="00910A4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910A46" w:rsidRPr="00910A46" w:rsidTr="00910A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 налогового расхода (далее - куратор)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II. Целевые характеристики налогового расхода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перечень налоговых расходов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куратора</w:t>
            </w:r>
          </w:p>
        </w:tc>
      </w:tr>
      <w:tr w:rsidR="00910A46" w:rsidRPr="00910A46" w:rsidTr="00910A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III. Фискальные характеристики налогового расхода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доходов, финансового органа *(2)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финансового органа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администратора доходов</w:t>
            </w:r>
          </w:p>
        </w:tc>
      </w:tr>
      <w:tr w:rsidR="00910A46" w:rsidRPr="00910A46" w:rsidTr="00910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A46" w:rsidRPr="00910A46" w:rsidRDefault="00910A46">
            <w:pPr>
              <w:spacing w:after="0" w:line="20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10A4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данные главного           администратора доходов</w:t>
            </w:r>
          </w:p>
        </w:tc>
      </w:tr>
    </w:tbl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-------------------------------------------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*(2) В случаях и порядке, предусмотренных пунктом 11 Порядка формирования перечня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Pr="00910A46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10A4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910A46" w:rsidRPr="00910A46" w:rsidRDefault="00910A46" w:rsidP="00910A46">
      <w:pPr>
        <w:shd w:val="clear" w:color="auto" w:fill="FFFFFF"/>
        <w:spacing w:after="0" w:line="2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10A46" w:rsidRPr="00910A46" w:rsidRDefault="00910A46" w:rsidP="00910A46">
      <w:pPr>
        <w:spacing w:after="0"/>
        <w:rPr>
          <w:rFonts w:ascii="Times New Roman" w:hAnsi="Times New Roman"/>
          <w:sz w:val="28"/>
          <w:szCs w:val="28"/>
        </w:rPr>
      </w:pPr>
    </w:p>
    <w:p w:rsidR="00AD005E" w:rsidRPr="00910A46" w:rsidRDefault="00AD005E">
      <w:pPr>
        <w:rPr>
          <w:rFonts w:ascii="Times New Roman" w:hAnsi="Times New Roman"/>
          <w:sz w:val="28"/>
          <w:szCs w:val="28"/>
        </w:rPr>
      </w:pPr>
    </w:p>
    <w:sectPr w:rsidR="00AD005E" w:rsidRPr="0091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0E"/>
    <w:rsid w:val="007F730E"/>
    <w:rsid w:val="00910A46"/>
    <w:rsid w:val="00A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910A46"/>
    <w:pPr>
      <w:spacing w:after="120" w:line="480" w:lineRule="auto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910A46"/>
    <w:rPr>
      <w:rFonts w:ascii="Calibri" w:eastAsia="Times New Roman" w:hAnsi="Calibri" w:cs="Times New Roman"/>
    </w:rPr>
  </w:style>
  <w:style w:type="character" w:customStyle="1" w:styleId="21">
    <w:name w:val="Основной текст 2 Знак1"/>
    <w:link w:val="2"/>
    <w:semiHidden/>
    <w:locked/>
    <w:rsid w:val="00910A4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1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910A46"/>
    <w:pPr>
      <w:spacing w:after="120" w:line="480" w:lineRule="auto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910A46"/>
    <w:rPr>
      <w:rFonts w:ascii="Calibri" w:eastAsia="Times New Roman" w:hAnsi="Calibri" w:cs="Times New Roman"/>
    </w:rPr>
  </w:style>
  <w:style w:type="character" w:customStyle="1" w:styleId="21">
    <w:name w:val="Основной текст 2 Знак1"/>
    <w:link w:val="2"/>
    <w:semiHidden/>
    <w:locked/>
    <w:rsid w:val="00910A4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1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3726</Words>
  <Characters>21240</Characters>
  <Application>Microsoft Office Word</Application>
  <DocSecurity>0</DocSecurity>
  <Lines>177</Lines>
  <Paragraphs>49</Paragraphs>
  <ScaleCrop>false</ScaleCrop>
  <Company/>
  <LinksUpToDate>false</LinksUpToDate>
  <CharactersWithSpaces>24917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dcterms:created xsi:type="dcterms:W3CDTF">2020-03-05T12:51:00Z</dcterms:created>
  <dcterms:modified xsi:type="dcterms:W3CDTF">2020-03-05T12:55:00Z</dcterms:modified>
</cp:coreProperties>
</file>