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7E" w:rsidRPr="00740E7E" w:rsidRDefault="00322AC0" w:rsidP="00322AC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22AC0" w:rsidRDefault="00322AC0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7E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322AC0">
        <w:rPr>
          <w:rFonts w:ascii="Times New Roman" w:hAnsi="Times New Roman" w:cs="Times New Roman"/>
          <w:b/>
          <w:sz w:val="28"/>
          <w:szCs w:val="28"/>
        </w:rPr>
        <w:t>СТАРОКИРЕМЕТСКОГО</w:t>
      </w:r>
      <w:r w:rsidR="000963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E7E">
        <w:rPr>
          <w:rFonts w:ascii="Times New Roman" w:hAnsi="Times New Roman" w:cs="Times New Roman"/>
          <w:b/>
          <w:sz w:val="28"/>
          <w:szCs w:val="28"/>
        </w:rPr>
        <w:t>СЕЛЬСКОГО ПОСЕЛЕНИЯ АКСУБАЕВСКОГО МУНИЦИПАЛЬНОГО РАЙОНА РЕСПУБЛИКИ ТАТАРСТАН</w:t>
      </w: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7E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E7E" w:rsidRPr="00740E7E" w:rsidRDefault="00740E7E" w:rsidP="00322A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0E7E">
        <w:rPr>
          <w:rFonts w:ascii="Times New Roman" w:hAnsi="Times New Roman" w:cs="Times New Roman"/>
          <w:sz w:val="28"/>
          <w:szCs w:val="28"/>
        </w:rPr>
        <w:t>№</w:t>
      </w:r>
      <w:r w:rsidR="00322AC0">
        <w:rPr>
          <w:rFonts w:ascii="Times New Roman" w:hAnsi="Times New Roman" w:cs="Times New Roman"/>
          <w:sz w:val="28"/>
          <w:szCs w:val="28"/>
        </w:rPr>
        <w:t xml:space="preserve"> </w:t>
      </w:r>
      <w:r w:rsidRPr="00740E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Pr="00740E7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22AC0">
        <w:rPr>
          <w:rFonts w:ascii="Times New Roman" w:hAnsi="Times New Roman" w:cs="Times New Roman"/>
          <w:sz w:val="28"/>
          <w:szCs w:val="28"/>
        </w:rPr>
        <w:t xml:space="preserve">         от         </w:t>
      </w:r>
      <w:r w:rsidRPr="00740E7E">
        <w:rPr>
          <w:rFonts w:ascii="Times New Roman" w:hAnsi="Times New Roman" w:cs="Times New Roman"/>
          <w:sz w:val="28"/>
          <w:szCs w:val="28"/>
        </w:rPr>
        <w:t>года</w:t>
      </w:r>
    </w:p>
    <w:p w:rsidR="00740E7E" w:rsidRPr="00740E7E" w:rsidRDefault="00740E7E" w:rsidP="00740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E7E" w:rsidRPr="00861101" w:rsidRDefault="00740E7E" w:rsidP="0086110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11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Порядка заключения специальных инвестиционных контрактов Исполнительным комитетом муниципального образования  «</w:t>
      </w:r>
      <w:r w:rsidR="00322A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Старокиреметское</w:t>
      </w:r>
      <w:r w:rsidRPr="008611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сельское поселение»  Аксубаевского муниципального района Республики Татарстан</w:t>
      </w:r>
    </w:p>
    <w:p w:rsidR="00740E7E" w:rsidRPr="00740E7E" w:rsidRDefault="00740E7E" w:rsidP="00740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4 </w:t>
      </w:r>
      <w:hyperlink r:id="rId6" w:history="1">
        <w:r w:rsidRPr="00740E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16 Федерального закона от 31.12.2014 N 488-ФЗ "О промышленной политике в Российской Федерации"</w:t>
        </w:r>
      </w:hyperlink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Исполнительный комитет муниципального образования  «</w:t>
      </w:r>
      <w:r w:rsidR="00322A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Старокиреметское</w:t>
      </w: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Аксубаевского муниципального района Республики Татарстан постановляет: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1.Утвердить: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Порядок заключения специальных инвестиционных контрактов Исполнительным комитетом муниципального образования  «</w:t>
      </w:r>
      <w:r w:rsidR="00322A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Старокиреметское</w:t>
      </w: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Аксубаевского муниципального района Республики Татарстан согласно Приложению N 1.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Форму заявления инвестора о заключении специального инвестиционного контракта согласно </w:t>
      </w:r>
      <w:hyperlink r:id="rId7" w:history="1">
        <w:r w:rsidRPr="00740E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 N 2</w:t>
        </w:r>
      </w:hyperlink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1.3.Порядок формирования и осуществления деятельности межведомственной комиссии по оценке возможности заключения специальных инвестиционных контрактов.</w:t>
      </w:r>
    </w:p>
    <w:p w:rsidR="00740E7E" w:rsidRPr="00096376" w:rsidRDefault="00096376" w:rsidP="00322AC0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40E7E" w:rsidRPr="0009637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40E7E" w:rsidRPr="00096376">
        <w:rPr>
          <w:rFonts w:ascii="Times New Roman" w:hAnsi="Times New Roman" w:cs="Times New Roman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8" w:tgtFrame="_blank" w:history="1"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http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</w:rPr>
          <w:t>://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aksubayevo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</w:rPr>
          <w:t>.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tatarstan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</w:rPr>
          <w:t>.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ru</w:t>
        </w:r>
      </w:hyperlink>
      <w:r w:rsidR="00740E7E" w:rsidRPr="00096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0E7E" w:rsidRPr="00096376">
        <w:rPr>
          <w:rFonts w:ascii="Times New Roman" w:hAnsi="Times New Roman" w:cs="Times New Roman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9" w:history="1">
        <w:r w:rsidR="00740E7E" w:rsidRPr="00096376">
          <w:rPr>
            <w:rFonts w:ascii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shd w:val="clear" w:color="auto" w:fill="FFFFFF"/>
          </w:rPr>
          <w:t>http://pravo.tatarstan.ru/</w:t>
        </w:r>
      </w:hyperlink>
      <w:r w:rsidR="00740E7E" w:rsidRPr="000963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40E7E" w:rsidRPr="00740E7E" w:rsidRDefault="00740E7E" w:rsidP="00740E7E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0E7E" w:rsidRPr="00740E7E" w:rsidRDefault="00096376" w:rsidP="00740E7E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E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740E7E" w:rsidRPr="00740E7E" w:rsidRDefault="00322AC0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Старокиреметского</w:t>
      </w:r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А.В.Парфенов</w:t>
      </w:r>
    </w:p>
    <w:p w:rsidR="00740E7E" w:rsidRPr="00740E7E" w:rsidRDefault="00740E7E" w:rsidP="00740E7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Pr="00740E7E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Приложение N1 к постановлению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 </w:t>
      </w:r>
      <w:r w:rsidR="00322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   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заключения специальных инвестиционных контрактов Исполнительным комитетом муниципального образования  </w:t>
      </w:r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Старокиреметское</w:t>
      </w:r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 Аксубаевского муниципального района Республики Татарстан</w:t>
      </w:r>
    </w:p>
    <w:p w:rsidR="00740E7E" w:rsidRPr="00740E7E" w:rsidRDefault="00740E7E" w:rsidP="00740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заключения специальных инвестиционных контрактов Исполнительным комитетом муниципального образования «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Старокиреметское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Республики Татарстан (далее Порядок) устанавливает механизм заключения специальных инвестиционных контрактов Исполнительным комитетом муниципального образования «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Старокиреметское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инвестиционный контракт заключается от имени муниципального образования «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Старокиреметское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Аксубаевского муниципального района (далее 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Старокиреметское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поселение) Исполнительным комитетом муниципального образования «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Старокиреметское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(далее - Администрация),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 промышленное производство на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муниципального образования  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Старокиреметское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(далее - инвестор, привлеченное лицо, инвестиционный проект).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муниципального образования  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Старокиреметское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в рамках которых реализуются инвестиционные проекты.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заключения специального инвестиционного контракта инвестор представляет в Администрацию заявление по форме, утвержденной постановлением Администрации, с </w:t>
      </w:r>
      <w:hyperlink r:id="rId10" w:history="1">
        <w:r w:rsidRPr="00322A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приложением</w:t>
        </w:r>
      </w:hyperlink>
      <w:r w:rsidRP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предлагаемого перечня обязательств инвестора и (или)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сведений: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 перечне мероприятий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 объеме инвестиций в инвестиционный проект;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объем налогов, планируемых к уплате по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создаваемых рабочих мест в ходе реализации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показатели, характеризующие выполнение инвестором принятых обязательств.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участия привлеченного лица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разработку проектной документации;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строительство или реконструкцию производственных зданий и сооружений;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приобретение, сооружение, изготовление, доставку, </w:t>
      </w:r>
      <w:proofErr w:type="spell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расконсервацию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расконсервируемого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муниципального образования  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Старокиреме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тского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AC4D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AC4DF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подготовки заключения устанавливается Администрацией.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специальных инвестиционных контрактов, утвержденного Администрацией подготавливает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предложенные инвестором характеристики инвестиционного проекта, указанные в пункте 4 настоящего Порядка.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Комиссия не позднее 60 рабочих дней со дня поступления в Администрацию документов, указанных в пунктах 4-7 настоящего Порядка, направляет Главе муниципального образования  </w:t>
      </w:r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Старокиреметское</w:t>
      </w:r>
      <w:r w:rsidR="00322AC0"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заключение, в котором содержится: 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инвестора и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инвестиционного проекта по созданию и (или) освоению нового промышленного производства;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обязательств инвестора и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срок действия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перечень мероприятий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м) объем инвестиций в инвестиционный проект;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инвестиционный проект не соответствует целям, указанным в пункте 2 настоящего Порядка;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представленные инвестором заявление и документы не соответствуют пунктам 4-8 настоящего Порядка;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Заключение комиссии направляется Администрацией в течение 10 рабочих дней со дня его получения лицам, участвующим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Администрация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течение 10 рабочих дней со дня получения протокола разногласий Администрация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неполучения Администрацией 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муниципального образования </w:t>
      </w:r>
      <w:r w:rsidR="00322A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Старокиреметское</w:t>
      </w:r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поселение подписывает специальный инвестиционный контракт.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P000E"/>
      <w:bookmarkEnd w:id="1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Приложение N2 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322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г.  N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ЗАКЛЮЧЕНИИ СПЕЦИАЛЬНОГО ИНВЕСТИЦИОННОГО КОНТРАКТА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заключения специального инвестиционного контракта администрацией _________________ сельского поселения, (далее - порядок),______________________________________________________________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инвестора)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заключить с ним специальный инвестиционный контракт на условиях, указанных в </w:t>
      </w:r>
      <w:hyperlink r:id="rId11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зависимости от предмета специального инвестиционного контракта указывается 1-й, 2-й, 3-й вариант </w:t>
      </w:r>
      <w:hyperlink r:id="rId12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заявлению, которое является его неотъемлемой частью.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исполнению специального инвестиционного контракта привлекается,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инвестору, что подтверждается,______________________________________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которое принимает на себя обязательства, указанные в </w:t>
      </w:r>
      <w:hyperlink r:id="rId13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заявлению.</w:t>
      </w:r>
      <w:proofErr w:type="gramEnd"/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Настоящим подтверждаю, что: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против ______________________________________________________________________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hyperlink r:id="rId14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приостановлена;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Сообщаю, что аффилированными лицами ___________________________________________</w:t>
      </w:r>
    </w:p>
    <w:p w:rsidR="00740E7E" w:rsidRPr="00740E7E" w:rsidRDefault="00740E7E" w:rsidP="00740E7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(перечисляются все аффилированные лица инвестора, определяемые в соответствии со </w:t>
      </w:r>
      <w:hyperlink r:id="rId15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6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Гражданского кодекса Российской Федерации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аффилированными лицами _____________________________________________________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 (в случае его привлечения)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все аффилированные лица привлеченного лица (в случае его привлечения), определяемые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17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 Гражданского кодекса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hyperlink r:id="rId18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16 июля 2015 г. N 708 "О специальных инвестиционных контрактах для отдельных отраслей промышленности"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Контактным лицом по настоящему заявлению является:_______________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фамилия, имя, отчество, контактный телефон и адрес электронной почты)</w:t>
      </w:r>
    </w:p>
    <w:p w:rsidR="00740E7E" w:rsidRPr="00740E7E" w:rsidRDefault="00322AC0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740E7E"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="00740E7E"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(перечисляются документы, прилагаемые к заявлению).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9"/>
        <w:gridCol w:w="2219"/>
        <w:gridCol w:w="569"/>
        <w:gridCol w:w="3526"/>
      </w:tblGrid>
      <w:tr w:rsidR="00740E7E" w:rsidRPr="00740E7E" w:rsidTr="00096376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организации-инвестора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М.П.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что_____________________________________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2033"/>
        <w:gridCol w:w="497"/>
        <w:gridCol w:w="3205"/>
      </w:tblGrid>
      <w:tr w:rsidR="00740E7E" w:rsidRPr="00740E7E" w:rsidTr="00096376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- привлеченного лица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М.П.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bookmarkStart w:id="2" w:name="P0020"/>
      <w:bookmarkEnd w:id="2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к Заявлению о заключении специального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инвестиционного контракта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(1-й вариант)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__________________ (лет).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что будет осуществляться - создание или модернизация)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производства 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</w:t>
      </w:r>
      <w:hyperlink r:id="rId20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несение следующих расходов инвестиционного характера: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5509"/>
        <w:gridCol w:w="4101"/>
      </w:tblGrid>
      <w:tr w:rsidR="00740E7E" w:rsidRPr="00740E7E" w:rsidTr="00096376">
        <w:trPr>
          <w:trHeight w:val="15"/>
        </w:trPr>
        <w:tc>
          <w:tcPr>
            <w:tcW w:w="85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разработку проектной документации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расконсервацию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модернизацию оборудования, 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таможенные пошлины и таможенные сборы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 ________________________________________________________________________________________________________________________________________,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об инвестиционной деятельности, другие источники),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(указывается докумен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 (далее - продукция):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9"/>
        <w:gridCol w:w="1329"/>
        <w:gridCol w:w="1224"/>
        <w:gridCol w:w="1750"/>
        <w:gridCol w:w="1249"/>
        <w:gridCol w:w="1240"/>
        <w:gridCol w:w="1544"/>
        <w:gridCol w:w="1454"/>
      </w:tblGrid>
      <w:tr w:rsidR="00740E7E" w:rsidRPr="00740E7E" w:rsidTr="00096376">
        <w:trPr>
          <w:trHeight w:val="15"/>
        </w:trPr>
        <w:tc>
          <w:tcPr>
            <w:tcW w:w="51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наличии/отсутствии налогов продукции, производимых на территории Российской Федерации &lt;*&gt;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 &lt;**&gt;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окончанию срока действия специального инвестиционного контракта&lt;***&gt;: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5"/>
        <w:gridCol w:w="2519"/>
        <w:gridCol w:w="1712"/>
        <w:gridCol w:w="1711"/>
        <w:gridCol w:w="1747"/>
        <w:gridCol w:w="2005"/>
      </w:tblGrid>
      <w:tr w:rsidR="00740E7E" w:rsidRPr="00740E7E" w:rsidTr="00096376">
        <w:trPr>
          <w:trHeight w:val="15"/>
        </w:trPr>
        <w:tc>
          <w:tcPr>
            <w:tcW w:w="587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n-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&lt;****&gt;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налогов, планируемых к уплате (тыс. руб.),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стоимости используемых материалов и компонентов (оборудования) иностранного происхождения в цене промышленной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продукции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&lt;******&gt;: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"/>
        <w:gridCol w:w="2219"/>
        <w:gridCol w:w="4216"/>
        <w:gridCol w:w="3247"/>
      </w:tblGrid>
      <w:tr w:rsidR="00740E7E" w:rsidRPr="00740E7E" w:rsidTr="00096376">
        <w:trPr>
          <w:trHeight w:val="15"/>
        </w:trPr>
        <w:tc>
          <w:tcPr>
            <w:tcW w:w="667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</w:t>
      </w:r>
      <w:hyperlink r:id="rId21" w:history="1">
        <w:r w:rsidRPr="00740E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приложением</w:t>
        </w:r>
      </w:hyperlink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указанного документа к заявлению.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В случае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  <w:hyperlink r:id="rId22" w:history="1">
        <w:r w:rsidRPr="00740E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о заключении специального инвестиционного контракта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(2-й вариант)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на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общая сумма инвестиций в рублях (цифрами и прописью) </w:t>
      </w:r>
      <w:proofErr w:type="gramEnd"/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Источником инвестиций являются: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Внедрить на промышленном производстве следующие наилучшие доступные технологии (далее - НДТ):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5"/>
        <w:gridCol w:w="4134"/>
        <w:gridCol w:w="5560"/>
      </w:tblGrid>
      <w:tr w:rsidR="00740E7E" w:rsidRPr="00740E7E" w:rsidTr="00096376">
        <w:trPr>
          <w:trHeight w:val="15"/>
        </w:trPr>
        <w:tc>
          <w:tcPr>
            <w:tcW w:w="5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НДТ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справочника НДТ, в котором содержится описание НДТ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Ввести в эксплуатацию на промышленном производстве следующее технологическое оборудование: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5"/>
        <w:gridCol w:w="2199"/>
        <w:gridCol w:w="3846"/>
        <w:gridCol w:w="3649"/>
      </w:tblGrid>
      <w:tr w:rsidR="00740E7E" w:rsidRPr="00740E7E" w:rsidTr="00096376">
        <w:trPr>
          <w:trHeight w:val="15"/>
        </w:trPr>
        <w:tc>
          <w:tcPr>
            <w:tcW w:w="5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оборудования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введения оборудования в эксплуатацию (указывается отчетный период,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котором оборудование будет введено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эксплуатацию)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Обеспечить в ходе реализации инвестиционного проекта достижение следующих показателей в отчетных периодах (отчетный период равен_________________________________________________________________________)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контракта&lt;*&gt;: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2385"/>
        <w:gridCol w:w="1616"/>
        <w:gridCol w:w="1616"/>
        <w:gridCol w:w="1608"/>
        <w:gridCol w:w="2464"/>
      </w:tblGrid>
      <w:tr w:rsidR="00740E7E" w:rsidRPr="00740E7E" w:rsidTr="00096376">
        <w:trPr>
          <w:trHeight w:val="15"/>
        </w:trPr>
        <w:tc>
          <w:tcPr>
            <w:tcW w:w="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n-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загрязняющего вещества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n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оборудования в соответствии с п.2.5 настоящего </w:t>
            </w:r>
            <w:hyperlink r:id="rId23" w:history="1">
              <w:r w:rsidRPr="00740E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Приложения</w:t>
              </w:r>
            </w:hyperlink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n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 ** 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5"/>
        <w:gridCol w:w="2220"/>
        <w:gridCol w:w="4223"/>
        <w:gridCol w:w="3251"/>
      </w:tblGrid>
      <w:tr w:rsidR="00740E7E" w:rsidRPr="00740E7E" w:rsidTr="00096376">
        <w:trPr>
          <w:trHeight w:val="15"/>
        </w:trPr>
        <w:tc>
          <w:tcPr>
            <w:tcW w:w="57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V. Дополнительные условия, предлагаемые инвестором для включения в специальный инвестиционный контракт: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В случае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/Н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е введено"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P003E"/>
      <w:bookmarkEnd w:id="3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ПРИЛОЖЕНИЕ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 Заявлению о заключении специального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инвестиционного контракта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(3-й вариант)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hyperlink r:id="rId24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предполагает выполнение на промышленном производстве______________________________________________________________________________________________________________________________________________________,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hyperlink r:id="rId25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Вложить в инвестиционный проект инвестиции на общую сумму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 что подтверждается _____________________________________________________________________________________________________________________________________________________________________.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3"/>
        <w:gridCol w:w="1339"/>
        <w:gridCol w:w="1233"/>
        <w:gridCol w:w="1684"/>
        <w:gridCol w:w="1259"/>
        <w:gridCol w:w="1249"/>
        <w:gridCol w:w="1556"/>
        <w:gridCol w:w="1466"/>
      </w:tblGrid>
      <w:tr w:rsidR="00740E7E" w:rsidRPr="00740E7E" w:rsidTr="00096376">
        <w:trPr>
          <w:trHeight w:val="15"/>
        </w:trPr>
        <w:tc>
          <w:tcPr>
            <w:tcW w:w="49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продукции&lt;*&gt;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контракта&lt;**&gt;: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2379"/>
        <w:gridCol w:w="1662"/>
        <w:gridCol w:w="1662"/>
        <w:gridCol w:w="1656"/>
        <w:gridCol w:w="2332"/>
      </w:tblGrid>
      <w:tr w:rsidR="00740E7E" w:rsidRPr="00740E7E" w:rsidTr="00096376">
        <w:trPr>
          <w:trHeight w:val="15"/>
        </w:trPr>
        <w:tc>
          <w:tcPr>
            <w:tcW w:w="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n-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(тыс. руб.)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реализованной продукции (тыс. руб.)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создаваемых рабочих мест (шт.)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(перечисляются обязательства привлеченного лица в ходе реализации инвестиционного проекта)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5"/>
        <w:gridCol w:w="2220"/>
        <w:gridCol w:w="4223"/>
        <w:gridCol w:w="3251"/>
      </w:tblGrid>
      <w:tr w:rsidR="00740E7E" w:rsidRPr="00740E7E" w:rsidTr="00096376">
        <w:trPr>
          <w:trHeight w:val="15"/>
        </w:trPr>
        <w:tc>
          <w:tcPr>
            <w:tcW w:w="57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Лицо, в отношении которого будет применяться мера стимулирования (инвестор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или привлеченное лицо)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В случае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  <w:bookmarkStart w:id="4" w:name="P004F"/>
      <w:bookmarkEnd w:id="4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Приложение N 3 к постановлению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от </w:t>
      </w:r>
      <w:r w:rsidR="00322A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22AC0">
        <w:rPr>
          <w:rFonts w:ascii="Times New Roman" w:eastAsia="Times New Roman" w:hAnsi="Times New Roman" w:cs="Times New Roman"/>
          <w:sz w:val="24"/>
          <w:szCs w:val="24"/>
          <w:lang w:eastAsia="ru-RU"/>
        </w:rPr>
        <w:t>г. N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межведомственной комиссии по оценке возможности заключения специальных инвестиционных контрактов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26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образуется в составе председателя комиссии, его заместителя и членов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составе комиссии входят: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председатель комиссии - глава _________________ сельского поселения;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заместитель председателя комиссии - заместитель главы администрации _________________ сельского поселения;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1 член комиссии - ______________________ (по согласованию).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2 члена комиссии - депутаты Совета _________________ сельского поселения (по согласованию).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комиссии утверждается распоряжением главы _________________ сельского поселения.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не имеет произведенных в Российской Федерации аналогов;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Председатель комиссии: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организует работу комиссии;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организует планирование работы комиссии;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представляет комиссию во взаимоотношениях с органами местного самоуправления и организациями;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отсутствие председателя комиссии его обязанности исполняет заместитель председателя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Комиссия для осуществления своих функций имеет право: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Созыв и проведение заседаний комиссии обеспечивает уполномоченный орган не реже двух раз в год (при наличии заявлений о заключении специальных инвестиционных контрактов).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аффилированности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перечень мероприятий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объем инвестиций в инвестиционный проект;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Информационно-аналитическое и материально-техническое обеспечение деятельности комиссии осуществляется администрацией _________________ сельского поселения.</w:t>
      </w:r>
    </w:p>
    <w:p w:rsidR="00740E7E" w:rsidRPr="00740E7E" w:rsidRDefault="00740E7E" w:rsidP="00740E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0E7E" w:rsidRPr="00740E7E" w:rsidRDefault="00740E7E" w:rsidP="00740E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747EBD" w:rsidRPr="00740E7E" w:rsidRDefault="00747EBD">
      <w:pPr>
        <w:rPr>
          <w:lang w:val="tt-RU"/>
        </w:rPr>
      </w:pPr>
    </w:p>
    <w:sectPr w:rsidR="00747EBD" w:rsidRPr="00740E7E" w:rsidSect="00096376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722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21"/>
    <w:rsid w:val="00096376"/>
    <w:rsid w:val="00322AC0"/>
    <w:rsid w:val="00740E7E"/>
    <w:rsid w:val="00747EBD"/>
    <w:rsid w:val="007D7F11"/>
    <w:rsid w:val="00820B69"/>
    <w:rsid w:val="00861101"/>
    <w:rsid w:val="00AA0D9A"/>
    <w:rsid w:val="00AC4DF4"/>
    <w:rsid w:val="00D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40E7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0E7E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40E7E"/>
    <w:pPr>
      <w:ind w:left="720"/>
      <w:contextualSpacing/>
    </w:pPr>
  </w:style>
  <w:style w:type="table" w:styleId="a4">
    <w:name w:val="Table Grid"/>
    <w:basedOn w:val="a1"/>
    <w:uiPriority w:val="59"/>
    <w:rsid w:val="00740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E7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40E7E"/>
    <w:rPr>
      <w:color w:val="0000FF" w:themeColor="hyperlink"/>
      <w:u w:val="single"/>
    </w:rPr>
  </w:style>
  <w:style w:type="paragraph" w:styleId="a8">
    <w:name w:val="No Spacing"/>
    <w:uiPriority w:val="1"/>
    <w:qFormat/>
    <w:rsid w:val="000963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40E7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0E7E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40E7E"/>
    <w:pPr>
      <w:ind w:left="720"/>
      <w:contextualSpacing/>
    </w:pPr>
  </w:style>
  <w:style w:type="table" w:styleId="a4">
    <w:name w:val="Table Grid"/>
    <w:basedOn w:val="a1"/>
    <w:uiPriority w:val="59"/>
    <w:rsid w:val="00740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E7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40E7E"/>
    <w:rPr>
      <w:color w:val="0000FF" w:themeColor="hyperlink"/>
      <w:u w:val="single"/>
    </w:rPr>
  </w:style>
  <w:style w:type="paragraph" w:styleId="a8">
    <w:name w:val="No Spacing"/>
    <w:uiPriority w:val="1"/>
    <w:qFormat/>
    <w:rsid w:val="00096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yperlink" Target="kodeks://link/d?nd=439307301&amp;prevdoc=439307301&amp;point=mark=00000000000000000000000000000000000000000000000000J80DOB" TargetMode="External"/><Relationship Id="rId18" Type="http://schemas.openxmlformats.org/officeDocument/2006/relationships/hyperlink" Target="kodeks://link/d?nd=420289300&amp;prevdoc=439307301" TargetMode="External"/><Relationship Id="rId26" Type="http://schemas.openxmlformats.org/officeDocument/2006/relationships/hyperlink" Target="kodeks://link/d?nd=9004937&amp;prevdoc=43930730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kodeks://link/d?nd=420289300&amp;prevdoc=439307301&amp;point=mark=000000000000000000000000000000000000000000000000007EC0KF" TargetMode="External"/><Relationship Id="rId7" Type="http://schemas.openxmlformats.org/officeDocument/2006/relationships/hyperlink" Target="kodeks://link/d?nd=439307301&amp;prevdoc=439307301&amp;point=mark=00000000000000000000000000000000000000000000000000J80DOB" TargetMode="External"/><Relationship Id="rId12" Type="http://schemas.openxmlformats.org/officeDocument/2006/relationships/hyperlink" Target="kodeks://link/d?nd=439307301&amp;prevdoc=439307301&amp;point=mark=00000000000000000000000000000000000000000000000000J80DOB" TargetMode="External"/><Relationship Id="rId17" Type="http://schemas.openxmlformats.org/officeDocument/2006/relationships/hyperlink" Target="kodeks://link/d?nd=9027690&amp;prevdoc=439307301&amp;point=mark=00000000000000000000000000000000000000000000000000BT60PC" TargetMode="External"/><Relationship Id="rId25" Type="http://schemas.openxmlformats.org/officeDocument/2006/relationships/hyperlink" Target="kodeks://link/d?nd=420289300&amp;prevdoc=439307301&amp;point=mark=000000000000000000000000000000000000000000000000007EC0KF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9027690&amp;prevdoc=439307301" TargetMode="External"/><Relationship Id="rId20" Type="http://schemas.openxmlformats.org/officeDocument/2006/relationships/hyperlink" Target="kodeks://link/d?nd=420289300&amp;prevdoc=439307301&amp;point=mark=000000000000000000000000000000000000000000000000007EC0KF" TargetMode="External"/><Relationship Id="rId1" Type="http://schemas.openxmlformats.org/officeDocument/2006/relationships/numbering" Target="numbering.xml"/><Relationship Id="rId6" Type="http://schemas.openxmlformats.org/officeDocument/2006/relationships/hyperlink" Target="kodeks://link/d?nd=420242984&amp;prevdoc=439307301&amp;point=mark=000000000000000000000000000000000000000000000000008PI0M1" TargetMode="External"/><Relationship Id="rId11" Type="http://schemas.openxmlformats.org/officeDocument/2006/relationships/hyperlink" Target="kodeks://link/d?nd=439307301&amp;prevdoc=439307301&amp;point=mark=00000000000000000000000000000000000000000000000000J80DOB" TargetMode="External"/><Relationship Id="rId24" Type="http://schemas.openxmlformats.org/officeDocument/2006/relationships/hyperlink" Target="kodeks://link/d?nd=420289300&amp;prevdoc=439307301&amp;point=mark=000000000000000000000000000000000000000000000000007EC0K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7690&amp;prevdoc=439307301&amp;point=mark=00000000000000000000000000000000000000000000000000BT60PC" TargetMode="External"/><Relationship Id="rId23" Type="http://schemas.openxmlformats.org/officeDocument/2006/relationships/hyperlink" Target="kodeks://link/d?nd=420289300&amp;prevdoc=439307301&amp;point=mark=000000000000000000000000000000000000000000000000007EC0KF" TargetMode="External"/><Relationship Id="rId28" Type="http://schemas.openxmlformats.org/officeDocument/2006/relationships/theme" Target="theme/theme1.xml"/><Relationship Id="rId10" Type="http://schemas.openxmlformats.org/officeDocument/2006/relationships/hyperlink" Target="kodeks://link/d?nd=439307301&amp;prevdoc=439307301&amp;point=mark=00000000000000000000000000000000000000000000000000J80DOB" TargetMode="External"/><Relationship Id="rId19" Type="http://schemas.openxmlformats.org/officeDocument/2006/relationships/hyperlink" Target="kodeks://link/d?nd=420289300&amp;prevdoc=439307301&amp;point=mark=000000000000000000000000000000000000000000000000007EC0K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yperlink" Target="kodeks://link/d?nd=901807667&amp;prevdoc=439307301" TargetMode="External"/><Relationship Id="rId22" Type="http://schemas.openxmlformats.org/officeDocument/2006/relationships/hyperlink" Target="kodeks://link/d?nd=420289300&amp;prevdoc=439307301&amp;point=mark=000000000000000000000000000000000000000000000000007EC0K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7174</Words>
  <Characters>40897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User</cp:lastModifiedBy>
  <cp:revision>2</cp:revision>
  <dcterms:created xsi:type="dcterms:W3CDTF">2020-03-30T11:03:00Z</dcterms:created>
  <dcterms:modified xsi:type="dcterms:W3CDTF">2020-03-30T11:03:00Z</dcterms:modified>
</cp:coreProperties>
</file>