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6238E" w:rsidRPr="005E0904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238E" w:rsidRPr="005E0904" w:rsidRDefault="009D70A9" w:rsidP="0068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904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5E0904" w:rsidRPr="005E0904">
        <w:rPr>
          <w:rFonts w:ascii="Times New Roman" w:hAnsi="Times New Roman" w:cs="Times New Roman"/>
          <w:b/>
          <w:sz w:val="28"/>
          <w:szCs w:val="28"/>
        </w:rPr>
        <w:t>ТРУДОЛЮБОВСКОГО</w:t>
      </w:r>
      <w:r w:rsidR="00102E97" w:rsidRPr="005E090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A46EE" w:rsidRPr="005E0904">
        <w:rPr>
          <w:rFonts w:ascii="Times New Roman" w:hAnsi="Times New Roman" w:cs="Times New Roman"/>
          <w:b/>
          <w:sz w:val="28"/>
          <w:szCs w:val="28"/>
        </w:rPr>
        <w:t xml:space="preserve"> АКСУБАЕВСКОГО МУНИЦИПАЛЬНОГО РАЙОНА РЕСПУБЛИКИ </w:t>
      </w:r>
      <w:bookmarkStart w:id="0" w:name="_GoBack"/>
      <w:bookmarkEnd w:id="0"/>
    </w:p>
    <w:p w:rsidR="00F9128F" w:rsidRPr="005E0904" w:rsidRDefault="00F9128F" w:rsidP="006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B82" w:rsidRPr="005E0904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9B7" w:rsidRPr="005E0904" w:rsidRDefault="0036238E" w:rsidP="0068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90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6238E" w:rsidRPr="005E0904" w:rsidRDefault="005A46EE" w:rsidP="00687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0904">
        <w:rPr>
          <w:rFonts w:ascii="Times New Roman" w:hAnsi="Times New Roman" w:cs="Times New Roman"/>
          <w:b/>
          <w:sz w:val="28"/>
          <w:szCs w:val="28"/>
        </w:rPr>
        <w:t>№</w:t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</w:r>
      <w:r w:rsidRPr="005E0904">
        <w:rPr>
          <w:rFonts w:ascii="Times New Roman" w:hAnsi="Times New Roman" w:cs="Times New Roman"/>
          <w:b/>
          <w:sz w:val="28"/>
          <w:szCs w:val="28"/>
        </w:rPr>
        <w:tab/>
        <w:t xml:space="preserve">от </w:t>
      </w: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5E0904" w:rsidRDefault="0049478C" w:rsidP="005E0904">
      <w:pPr>
        <w:tabs>
          <w:tab w:val="left" w:pos="5387"/>
          <w:tab w:val="left" w:pos="5670"/>
        </w:tabs>
        <w:spacing w:after="0" w:line="240" w:lineRule="auto"/>
        <w:ind w:right="4535"/>
        <w:rPr>
          <w:rFonts w:ascii="Times New Roman" w:hAnsi="Times New Roman" w:cs="Times New Roman"/>
          <w:b/>
          <w:sz w:val="28"/>
          <w:szCs w:val="28"/>
        </w:rPr>
      </w:pPr>
      <w:r w:rsidRPr="005E090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CC3363" w:rsidRPr="005E0904">
        <w:rPr>
          <w:rFonts w:ascii="Times New Roman" w:hAnsi="Times New Roman" w:cs="Times New Roman"/>
          <w:b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102E97" w:rsidRPr="005E0904">
        <w:rPr>
          <w:rFonts w:ascii="Times New Roman" w:hAnsi="Times New Roman" w:cs="Times New Roman"/>
          <w:b/>
          <w:sz w:val="28"/>
          <w:szCs w:val="28"/>
        </w:rPr>
        <w:t xml:space="preserve">Исполнительного </w:t>
      </w:r>
      <w:r w:rsidR="00A24AD1" w:rsidRPr="005E0904">
        <w:rPr>
          <w:rFonts w:ascii="Times New Roman" w:hAnsi="Times New Roman" w:cs="Times New Roman"/>
          <w:b/>
          <w:sz w:val="28"/>
          <w:szCs w:val="28"/>
        </w:rPr>
        <w:t>комитета</w:t>
      </w:r>
      <w:r w:rsidR="005E0904" w:rsidRPr="005E0904">
        <w:rPr>
          <w:rFonts w:ascii="Times New Roman" w:hAnsi="Times New Roman" w:cs="Times New Roman"/>
          <w:b/>
          <w:sz w:val="28"/>
          <w:szCs w:val="28"/>
        </w:rPr>
        <w:t xml:space="preserve"> Трудолюбовского </w:t>
      </w:r>
      <w:r w:rsidR="00102E97" w:rsidRPr="005E090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543272" w:rsidRPr="005E0904">
        <w:rPr>
          <w:rFonts w:ascii="Times New Roman" w:hAnsi="Times New Roman" w:cs="Times New Roman"/>
          <w:b/>
          <w:sz w:val="28"/>
          <w:szCs w:val="28"/>
        </w:rPr>
        <w:t>в 2020 году</w:t>
      </w:r>
    </w:p>
    <w:p w:rsidR="00543272" w:rsidRPr="005E0904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102E97">
        <w:rPr>
          <w:rFonts w:ascii="Times New Roman" w:hAnsi="Times New Roman" w:cs="Times New Roman"/>
          <w:sz w:val="28"/>
          <w:szCs w:val="28"/>
        </w:rPr>
        <w:t>Карасинского</w:t>
      </w:r>
      <w:proofErr w:type="spellEnd"/>
      <w:r w:rsidR="00102E97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102E97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5360C" w:rsidRDefault="00A5360C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EB9" w:rsidRDefault="009E7F5B" w:rsidP="007F1C15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оценки налоговых </w:t>
      </w:r>
      <w:proofErr w:type="spellStart"/>
      <w:r w:rsidR="00C43EB9" w:rsidRPr="00DF1B7A">
        <w:rPr>
          <w:rFonts w:ascii="Times New Roman" w:hAnsi="Times New Roman" w:cs="Times New Roman"/>
          <w:sz w:val="28"/>
          <w:szCs w:val="28"/>
        </w:rPr>
        <w:t>расходов</w:t>
      </w:r>
      <w:r w:rsidR="00102E97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spellEnd"/>
      <w:r w:rsidR="00102E97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102E97">
        <w:rPr>
          <w:rFonts w:ascii="Times New Roman" w:hAnsi="Times New Roman" w:cs="Times New Roman"/>
          <w:sz w:val="28"/>
          <w:szCs w:val="28"/>
        </w:rPr>
        <w:t>Карасинского</w:t>
      </w:r>
      <w:proofErr w:type="spellEnd"/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B661D0" w:rsidRPr="005538A1" w:rsidRDefault="00B661D0" w:rsidP="007F1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о количестве плательщиков, воспользовавшихся льготами;</w:t>
      </w:r>
    </w:p>
    <w:p w:rsidR="005538A1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суммах выпадающих доходов бюджета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proofErr w:type="spellStart"/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24AD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арасинского</w:t>
      </w:r>
      <w:proofErr w:type="spellEnd"/>
      <w:r w:rsidR="00A24AD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proofErr w:type="spellStart"/>
      <w:r w:rsidR="00A24AD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каждому налоговому расходу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Карасинского</w:t>
      </w:r>
      <w:proofErr w:type="spellEnd"/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5538A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1C15" w:rsidRPr="007F1C15" w:rsidRDefault="007F1C15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>3.</w:t>
      </w:r>
      <w:proofErr w:type="gramStart"/>
      <w:r w:rsidRPr="007F1C15">
        <w:rPr>
          <w:rFonts w:ascii="Times New Roman" w:hAnsi="Times New Roman" w:cs="Times New Roman"/>
          <w:b w:val="0"/>
          <w:color w:val="000000" w:themeColor="text1"/>
        </w:rPr>
        <w:t>Разместить</w:t>
      </w:r>
      <w:proofErr w:type="gramEnd"/>
      <w:r w:rsidRPr="007F1C15">
        <w:rPr>
          <w:rFonts w:ascii="Times New Roman" w:hAnsi="Times New Roman" w:cs="Times New Roman"/>
          <w:b w:val="0"/>
          <w:color w:val="000000" w:themeColor="text1"/>
        </w:rPr>
        <w:t xml:space="preserve"> настоящее решение на официальном сайте Аксубаевского муниципального района </w:t>
      </w:r>
      <w:hyperlink r:id="rId8" w:history="1"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http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://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aksubayevo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tatarstan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ru</w:t>
        </w:r>
      </w:hyperlink>
      <w:r w:rsidRPr="007F1C15">
        <w:rPr>
          <w:rStyle w:val="ae"/>
          <w:rFonts w:ascii="Times New Roman" w:hAnsi="Times New Roman" w:cs="Times New Roman"/>
          <w:b w:val="0"/>
          <w:color w:val="000000" w:themeColor="text1"/>
        </w:rPr>
        <w:t xml:space="preserve"> и</w:t>
      </w:r>
      <w:r w:rsidRPr="007F1C15">
        <w:rPr>
          <w:rFonts w:ascii="Times New Roman" w:hAnsi="Times New Roman" w:cs="Times New Roman"/>
          <w:b w:val="0"/>
          <w:color w:val="000000" w:themeColor="text1"/>
        </w:rPr>
        <w:t xml:space="preserve">опубликовать  на официальном портале  правовой  информации  </w:t>
      </w:r>
      <w:r w:rsidRPr="007F1C15">
        <w:rPr>
          <w:rFonts w:ascii="Times New Roman" w:hAnsi="Times New Roman" w:cs="Times New Roman"/>
          <w:b w:val="0"/>
          <w:color w:val="000000" w:themeColor="text1"/>
          <w:u w:val="single"/>
        </w:rPr>
        <w:t>http://pravo.tatarstan.ru/</w:t>
      </w:r>
    </w:p>
    <w:p w:rsidR="00687C7D" w:rsidRPr="007F1C15" w:rsidRDefault="007F1C15" w:rsidP="007F1C1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CE0BFE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E6C16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F1C15" w:rsidRPr="007F1C15" w:rsidRDefault="007F1C15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>5.  Контроль за исполнением настоящего постановления оставляю за собой.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F1B7A" w:rsidRPr="00DF1B7A" w:rsidRDefault="00DF1B7A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38A1">
        <w:rPr>
          <w:rFonts w:ascii="Times New Roman" w:hAnsi="Times New Roman" w:cs="Times New Roman"/>
          <w:bCs/>
          <w:sz w:val="28"/>
          <w:szCs w:val="28"/>
        </w:rPr>
        <w:t>комитета</w:t>
      </w:r>
      <w:r w:rsidR="00102E97">
        <w:rPr>
          <w:rFonts w:ascii="Times New Roman" w:hAnsi="Times New Roman" w:cs="Times New Roman"/>
          <w:bCs/>
          <w:sz w:val="28"/>
          <w:szCs w:val="28"/>
        </w:rPr>
        <w:t>Карасинского</w:t>
      </w:r>
      <w:proofErr w:type="spellEnd"/>
      <w:r w:rsidR="00102E9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102E97" w:rsidRDefault="00102E97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102E97" w:rsidRDefault="00102E97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24AD1" w:rsidRDefault="00A24AD1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F1300" w:rsidRDefault="00102E97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03D" w:rsidRPr="00643B82" w:rsidRDefault="000A003D" w:rsidP="000A0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BBF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102E97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102E97">
        <w:rPr>
          <w:rFonts w:ascii="Times New Roman" w:hAnsi="Times New Roman" w:cs="Times New Roman"/>
          <w:sz w:val="28"/>
          <w:szCs w:val="28"/>
        </w:rPr>
        <w:t>Карасинского</w:t>
      </w:r>
      <w:proofErr w:type="spellEnd"/>
      <w:r w:rsidR="00102E97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102E97">
        <w:rPr>
          <w:rFonts w:ascii="Times New Roman" w:hAnsi="Times New Roman" w:cs="Times New Roman"/>
          <w:sz w:val="28"/>
          <w:szCs w:val="28"/>
        </w:rPr>
        <w:t>поселения</w:t>
      </w:r>
      <w:r w:rsidR="00543272" w:rsidRPr="0054327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43272" w:rsidRPr="00543272"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1D5F45" w:rsidRPr="000A003D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A24AD1" w:rsidRDefault="0049228A" w:rsidP="00A2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</w:t>
      </w:r>
      <w:proofErr w:type="spellStart"/>
      <w:r w:rsidR="006D715F" w:rsidRPr="003C46BE">
        <w:rPr>
          <w:rFonts w:ascii="Times New Roman" w:hAnsi="Times New Roman" w:cs="Times New Roman"/>
          <w:sz w:val="28"/>
          <w:szCs w:val="28"/>
        </w:rPr>
        <w:t>расходов</w:t>
      </w:r>
      <w:r w:rsidR="00102E97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spellEnd"/>
      <w:r w:rsidR="00102E97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102E97">
        <w:rPr>
          <w:rFonts w:ascii="Times New Roman" w:hAnsi="Times New Roman" w:cs="Times New Roman"/>
          <w:sz w:val="28"/>
          <w:szCs w:val="28"/>
        </w:rPr>
        <w:t>Карасинского</w:t>
      </w:r>
      <w:proofErr w:type="spellEnd"/>
      <w:r w:rsidR="00102E97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102E97">
        <w:rPr>
          <w:rFonts w:ascii="Times New Roman" w:hAnsi="Times New Roman" w:cs="Times New Roman"/>
          <w:sz w:val="28"/>
          <w:szCs w:val="28"/>
        </w:rPr>
        <w:t>поселения</w:t>
      </w:r>
      <w:r w:rsidR="006D715F" w:rsidRPr="003C46B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D715F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Pr="003C46BE">
        <w:rPr>
          <w:rFonts w:ascii="Times New Roman" w:hAnsi="Times New Roman" w:cs="Times New Roman"/>
          <w:sz w:val="28"/>
          <w:szCs w:val="28"/>
        </w:rPr>
        <w:t xml:space="preserve">оценки налоговых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расходов</w:t>
      </w:r>
      <w:r w:rsidR="009F20EB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spellEnd"/>
      <w:r w:rsidR="009F20EB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9F20EB">
        <w:rPr>
          <w:rFonts w:ascii="Times New Roman" w:hAnsi="Times New Roman" w:cs="Times New Roman"/>
          <w:sz w:val="28"/>
          <w:szCs w:val="28"/>
        </w:rPr>
        <w:t>Карасинского</w:t>
      </w:r>
      <w:proofErr w:type="spellEnd"/>
      <w:r w:rsidR="009F20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61D0">
        <w:rPr>
          <w:rFonts w:ascii="Times New Roman" w:hAnsi="Times New Roman" w:cs="Times New Roman"/>
          <w:sz w:val="28"/>
          <w:szCs w:val="28"/>
        </w:rPr>
        <w:t>, муниципальное  образование).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3C46BE">
        <w:rPr>
          <w:rFonts w:ascii="Times New Roman" w:hAnsi="Times New Roman" w:cs="Times New Roman"/>
          <w:sz w:val="24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lastRenderedPageBreak/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в течение 10 рабочих дней с даты вступления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C5D" w:rsidRDefault="00E15C5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</w:p>
    <w:p w:rsidR="001D5F4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55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43361">
        <w:rPr>
          <w:rFonts w:ascii="Times New Roman" w:hAnsi="Times New Roman" w:cs="Times New Roman"/>
          <w:b/>
          <w:sz w:val="28"/>
          <w:szCs w:val="28"/>
        </w:rPr>
        <w:t>.</w:t>
      </w: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</w:t>
      </w:r>
      <w:r w:rsidRPr="008713E2">
        <w:rPr>
          <w:rFonts w:ascii="Times New Roman" w:eastAsia="Calibri" w:hAnsi="Times New Roman" w:cs="Times New Roman"/>
          <w:sz w:val="28"/>
        </w:rPr>
        <w:lastRenderedPageBreak/>
        <w:t>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lastRenderedPageBreak/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proofErr w:type="spellEnd"/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</w:t>
      </w:r>
      <w:proofErr w:type="gramStart"/>
      <w:r w:rsidR="00E63909" w:rsidRPr="001257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3909" w:rsidRPr="001257C3">
        <w:rPr>
          <w:rFonts w:ascii="Times New Roman" w:hAnsi="Times New Roman" w:cs="Times New Roman"/>
          <w:sz w:val="28"/>
          <w:szCs w:val="28"/>
        </w:rPr>
        <w:t xml:space="preserve">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ad"/>
        <w:tblW w:w="0" w:type="auto"/>
        <w:tblInd w:w="6487" w:type="dxa"/>
        <w:tblLook w:val="04A0"/>
      </w:tblPr>
      <w:tblGrid>
        <w:gridCol w:w="3083"/>
      </w:tblGrid>
      <w:tr w:rsidR="00135B7B" w:rsidRPr="001257C3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9F20EB" w:rsidRDefault="009F20EB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0EB" w:rsidRDefault="009F20EB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A3E" w:rsidRPr="001257C3" w:rsidRDefault="00502A3E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02A3E" w:rsidRPr="001257C3" w:rsidRDefault="00502A3E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перечня налоговых расходов</w:t>
            </w:r>
          </w:p>
          <w:p w:rsidR="001257C3" w:rsidRPr="001257C3" w:rsidRDefault="009F20EB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257C3" w:rsidRPr="001257C3" w:rsidRDefault="001257C3" w:rsidP="001257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E44" w:rsidRPr="001257C3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F20EB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Карасинского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/>
      </w:tblPr>
      <w:tblGrid>
        <w:gridCol w:w="568"/>
        <w:gridCol w:w="6237"/>
        <w:gridCol w:w="3260"/>
      </w:tblGrid>
      <w:tr w:rsidR="005C6FF3" w:rsidRPr="001257C3" w:rsidTr="0076379B">
        <w:tc>
          <w:tcPr>
            <w:tcW w:w="6805" w:type="dxa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76379B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76379B">
        <w:tc>
          <w:tcPr>
            <w:tcW w:w="568" w:type="dxa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76379B">
        <w:tc>
          <w:tcPr>
            <w:tcW w:w="568" w:type="dxa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C31690">
        <w:trPr>
          <w:trHeight w:val="292"/>
        </w:trPr>
        <w:tc>
          <w:tcPr>
            <w:tcW w:w="10065" w:type="dxa"/>
            <w:gridSpan w:val="3"/>
          </w:tcPr>
          <w:p w:rsidR="00CD3DD6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76379B">
        <w:tc>
          <w:tcPr>
            <w:tcW w:w="568" w:type="dxa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Федеральной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налоговой службы по Республике Татарстан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76379B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852" w:rsidRDefault="00574852" w:rsidP="005C6FF3">
      <w:pPr>
        <w:spacing w:after="0" w:line="240" w:lineRule="auto"/>
      </w:pPr>
      <w:r>
        <w:separator/>
      </w:r>
    </w:p>
  </w:endnote>
  <w:endnote w:type="continuationSeparator" w:id="1">
    <w:p w:rsidR="00574852" w:rsidRDefault="00574852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852" w:rsidRDefault="00574852" w:rsidP="005C6FF3">
      <w:pPr>
        <w:spacing w:after="0" w:line="240" w:lineRule="auto"/>
      </w:pPr>
      <w:r>
        <w:separator/>
      </w:r>
    </w:p>
  </w:footnote>
  <w:footnote w:type="continuationSeparator" w:id="1">
    <w:p w:rsidR="00574852" w:rsidRDefault="00574852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1659346"/>
      <w:docPartObj>
        <w:docPartGallery w:val="Page Numbers (Top of Page)"/>
        <w:docPartUnique/>
      </w:docPartObj>
    </w:sdtPr>
    <w:sdtContent>
      <w:p w:rsidR="00E94F16" w:rsidRDefault="006D64AB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5E0904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2E97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3516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8F6"/>
    <w:rsid w:val="00513CAB"/>
    <w:rsid w:val="005207FD"/>
    <w:rsid w:val="00524CC7"/>
    <w:rsid w:val="00525ADE"/>
    <w:rsid w:val="00531495"/>
    <w:rsid w:val="0054173C"/>
    <w:rsid w:val="00543272"/>
    <w:rsid w:val="0054456D"/>
    <w:rsid w:val="00551874"/>
    <w:rsid w:val="00552F69"/>
    <w:rsid w:val="005538A1"/>
    <w:rsid w:val="00561795"/>
    <w:rsid w:val="00561A0C"/>
    <w:rsid w:val="00563584"/>
    <w:rsid w:val="00563C76"/>
    <w:rsid w:val="00574852"/>
    <w:rsid w:val="00574EC6"/>
    <w:rsid w:val="00577006"/>
    <w:rsid w:val="005774E8"/>
    <w:rsid w:val="0059327B"/>
    <w:rsid w:val="00593B79"/>
    <w:rsid w:val="005955D1"/>
    <w:rsid w:val="005A46EE"/>
    <w:rsid w:val="005C35F0"/>
    <w:rsid w:val="005C6FF3"/>
    <w:rsid w:val="005D3A44"/>
    <w:rsid w:val="005D5593"/>
    <w:rsid w:val="005D677E"/>
    <w:rsid w:val="005D7FA8"/>
    <w:rsid w:val="005E0904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64AB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2869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1C15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20EB"/>
    <w:rsid w:val="009F5381"/>
    <w:rsid w:val="009F6152"/>
    <w:rsid w:val="009F621E"/>
    <w:rsid w:val="00A01949"/>
    <w:rsid w:val="00A10607"/>
    <w:rsid w:val="00A24AD1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60F6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0579"/>
    <w:rsid w:val="00E35DC3"/>
    <w:rsid w:val="00E44927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3F32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AB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7F1C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72CF-E369-4A1E-A9AE-9F1DC4E2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INF</cp:lastModifiedBy>
  <cp:revision>6</cp:revision>
  <cp:lastPrinted>2020-03-23T04:52:00Z</cp:lastPrinted>
  <dcterms:created xsi:type="dcterms:W3CDTF">2020-03-24T13:48:00Z</dcterms:created>
  <dcterms:modified xsi:type="dcterms:W3CDTF">2020-03-31T05:35:00Z</dcterms:modified>
</cp:coreProperties>
</file>