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76" w:rsidRDefault="00072176"/>
    <w:tbl>
      <w:tblPr>
        <w:tblW w:w="11160" w:type="dxa"/>
        <w:tblInd w:w="-9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072176" w:rsidTr="00072176">
        <w:tc>
          <w:tcPr>
            <w:tcW w:w="4714" w:type="dxa"/>
            <w:tcBorders>
              <w:top w:val="nil"/>
              <w:left w:val="nil"/>
              <w:bottom w:val="single" w:sz="4" w:space="0" w:color="auto"/>
              <w:right w:val="nil"/>
            </w:tcBorders>
            <w:hideMark/>
          </w:tcPr>
          <w:p w:rsidR="00072176" w:rsidRDefault="00072176">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Татарстан Республикасы</w:t>
            </w:r>
          </w:p>
          <w:p w:rsidR="00072176" w:rsidRDefault="00072176">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Аксубай муниципаль районы</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val="tt-RU" w:eastAsia="en-US"/>
              </w:rPr>
              <w:t>Шэ</w:t>
            </w:r>
            <w:r>
              <w:rPr>
                <w:rFonts w:ascii="Tahoma" w:eastAsiaTheme="minorHAnsi" w:hAnsi="Tahoma" w:cs="Tahoma"/>
                <w:b/>
                <w:bCs/>
                <w:sz w:val="20"/>
                <w:szCs w:val="20"/>
                <w:lang w:val="en-US" w:eastAsia="en-US"/>
              </w:rPr>
              <w:t>h</w:t>
            </w:r>
            <w:r>
              <w:rPr>
                <w:rFonts w:ascii="Tahoma" w:eastAsiaTheme="minorHAnsi" w:hAnsi="Tahoma" w:cs="Tahoma"/>
                <w:b/>
                <w:bCs/>
                <w:sz w:val="20"/>
                <w:szCs w:val="20"/>
                <w:lang w:eastAsia="en-US"/>
              </w:rPr>
              <w:t>эр тибындагы</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 xml:space="preserve">Аксубай поселогы </w:t>
            </w:r>
          </w:p>
          <w:p w:rsidR="00072176" w:rsidRDefault="00072176">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eastAsia="en-US"/>
              </w:rPr>
              <w:t>Башкарма комитеты</w:t>
            </w:r>
          </w:p>
          <w:p w:rsidR="00072176" w:rsidRDefault="00072176">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 xml:space="preserve">423060, Аксубай штп, </w:t>
            </w:r>
          </w:p>
          <w:p w:rsidR="00072176" w:rsidRDefault="00072176">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Советлар урамы, 2 нче йорт</w:t>
            </w:r>
          </w:p>
          <w:p w:rsidR="00072176" w:rsidRDefault="00072176">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т.2-73-62</w:t>
            </w:r>
          </w:p>
          <w:p w:rsidR="00072176" w:rsidRDefault="00072176">
            <w:pPr>
              <w:spacing w:line="256" w:lineRule="auto"/>
              <w:jc w:val="center"/>
              <w:rPr>
                <w:rFonts w:ascii="Times New Roman" w:eastAsiaTheme="minorHAnsi" w:hAnsi="Times New Roman"/>
                <w:sz w:val="20"/>
                <w:szCs w:val="20"/>
                <w:lang w:val="tt-RU" w:eastAsia="en-US"/>
              </w:rPr>
            </w:pPr>
            <w:r>
              <w:rPr>
                <w:rFonts w:ascii="Tahoma" w:eastAsiaTheme="minorHAnsi" w:hAnsi="Tahoma" w:cs="Tahoma"/>
                <w:b/>
                <w:bCs/>
                <w:sz w:val="20"/>
                <w:szCs w:val="20"/>
                <w:lang w:val="tt-RU" w:eastAsia="en-US"/>
              </w:rPr>
              <w:t xml:space="preserve">  </w:t>
            </w:r>
          </w:p>
        </w:tc>
        <w:tc>
          <w:tcPr>
            <w:tcW w:w="1538" w:type="dxa"/>
            <w:tcBorders>
              <w:top w:val="nil"/>
              <w:left w:val="nil"/>
              <w:bottom w:val="single" w:sz="4" w:space="0" w:color="auto"/>
              <w:right w:val="nil"/>
            </w:tcBorders>
            <w:hideMark/>
          </w:tcPr>
          <w:p w:rsidR="00072176" w:rsidRDefault="00072176">
            <w:pPr>
              <w:spacing w:line="256" w:lineRule="auto"/>
              <w:jc w:val="center"/>
              <w:rPr>
                <w:rFonts w:eastAsiaTheme="minorHAnsi" w:cstheme="minorBidi"/>
                <w:sz w:val="20"/>
                <w:szCs w:val="20"/>
                <w:lang w:val="tt-RU" w:eastAsia="en-US"/>
              </w:rPr>
            </w:pPr>
            <w:r>
              <w:rPr>
                <w:rFonts w:ascii="Tahoma" w:eastAsiaTheme="minorHAnsi" w:hAnsi="Tahoma" w:cs="Tahoma"/>
                <w:b/>
                <w:noProof/>
                <w:sz w:val="20"/>
                <w:szCs w:val="20"/>
              </w:rPr>
              <w:drawing>
                <wp:inline distT="0" distB="0" distL="0" distR="0">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 xml:space="preserve">Исполнительный комитет </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 xml:space="preserve">поселка городского типа Аксубаево Аксубаевского муниципального района </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Республики Татарстан</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423060, пгт Аксубаево,</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ул.Советская, д.2</w:t>
            </w:r>
          </w:p>
          <w:p w:rsidR="00072176" w:rsidRDefault="00072176">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т. 2-73-62</w:t>
            </w:r>
          </w:p>
          <w:p w:rsidR="00072176" w:rsidRDefault="00072176">
            <w:pPr>
              <w:spacing w:line="256" w:lineRule="auto"/>
              <w:jc w:val="center"/>
              <w:rPr>
                <w:rFonts w:ascii="Times New Roman" w:eastAsiaTheme="minorHAnsi" w:hAnsi="Times New Roman"/>
                <w:sz w:val="20"/>
                <w:szCs w:val="20"/>
                <w:lang w:eastAsia="en-US"/>
              </w:rPr>
            </w:pPr>
            <w:r>
              <w:rPr>
                <w:rFonts w:ascii="Tahoma" w:eastAsiaTheme="minorHAnsi" w:hAnsi="Tahoma" w:cs="Tahoma"/>
                <w:b/>
                <w:bCs/>
                <w:sz w:val="20"/>
                <w:szCs w:val="20"/>
                <w:lang w:val="tt-RU" w:eastAsia="en-US"/>
              </w:rPr>
              <w:t xml:space="preserve">   </w:t>
            </w:r>
          </w:p>
        </w:tc>
      </w:tr>
    </w:tbl>
    <w:p w:rsidR="00072176" w:rsidRDefault="00072176" w:rsidP="00072176">
      <w:pPr>
        <w:ind w:left="5670" w:right="-1"/>
        <w:rPr>
          <w:rFonts w:ascii="Times New Roman" w:eastAsia="Times New Roman" w:hAnsi="Times New Roman"/>
        </w:rPr>
      </w:pPr>
      <w:r>
        <w:rPr>
          <w:rFonts w:ascii="Times New Roman" w:eastAsia="Times New Roman" w:hAnsi="Times New Roman"/>
        </w:rPr>
        <w:t xml:space="preserve">                             ПРОЕКТ</w:t>
      </w:r>
    </w:p>
    <w:p w:rsidR="00072176" w:rsidRDefault="00072176" w:rsidP="00072176">
      <w:pPr>
        <w:ind w:left="5670" w:right="-1"/>
        <w:rPr>
          <w:rFonts w:ascii="Times New Roman" w:hAnsi="Times New Roman"/>
        </w:rPr>
      </w:pPr>
      <w:r>
        <w:rPr>
          <w:rFonts w:ascii="Times New Roman" w:hAnsi="Times New Roman"/>
        </w:rPr>
        <w:t xml:space="preserve">                             </w:t>
      </w:r>
    </w:p>
    <w:p w:rsidR="00072176" w:rsidRDefault="00072176" w:rsidP="00072176">
      <w:pPr>
        <w:jc w:val="center"/>
        <w:rPr>
          <w:rFonts w:ascii="Arial" w:hAnsi="Arial" w:cs="Arial"/>
          <w:b/>
        </w:rPr>
      </w:pPr>
      <w:r>
        <w:rPr>
          <w:rFonts w:ascii="Arial" w:hAnsi="Arial" w:cs="Arial"/>
          <w:b/>
        </w:rPr>
        <w:t>ПОСТАНОВЛЕНИЕ</w:t>
      </w:r>
    </w:p>
    <w:p w:rsidR="00072176" w:rsidRDefault="00072176" w:rsidP="00072176">
      <w:pPr>
        <w:jc w:val="center"/>
        <w:rPr>
          <w:rFonts w:ascii="Arial" w:hAnsi="Arial" w:cs="Arial"/>
          <w:b/>
        </w:rPr>
      </w:pPr>
    </w:p>
    <w:p w:rsidR="00072176" w:rsidRDefault="00072176" w:rsidP="00072176">
      <w:pPr>
        <w:tabs>
          <w:tab w:val="left" w:pos="7860"/>
        </w:tabs>
        <w:rPr>
          <w:rFonts w:ascii="Arial" w:hAnsi="Arial" w:cs="Arial"/>
        </w:rPr>
      </w:pPr>
      <w:r>
        <w:rPr>
          <w:rFonts w:ascii="Arial" w:hAnsi="Arial" w:cs="Arial"/>
        </w:rPr>
        <w:t>от             2022 года</w:t>
      </w:r>
      <w:r>
        <w:rPr>
          <w:rFonts w:ascii="Arial" w:hAnsi="Arial" w:cs="Arial"/>
        </w:rPr>
        <w:tab/>
        <w:t xml:space="preserve">№ </w:t>
      </w:r>
    </w:p>
    <w:p w:rsidR="00072176" w:rsidRDefault="00072176" w:rsidP="00072176">
      <w:pPr>
        <w:rPr>
          <w:rFonts w:ascii="Arial" w:hAnsi="Arial" w:cs="Arial"/>
        </w:rPr>
      </w:pPr>
    </w:p>
    <w:p w:rsidR="00072176" w:rsidRDefault="00072176" w:rsidP="00072176">
      <w:pPr>
        <w:ind w:left="-426" w:hanging="141"/>
        <w:jc w:val="center"/>
        <w:rPr>
          <w:rFonts w:ascii="Arial" w:hAnsi="Arial" w:cs="Arial"/>
          <w:b/>
        </w:rPr>
      </w:pPr>
      <w:bookmarkStart w:id="0" w:name="_GoBack"/>
      <w:r>
        <w:rPr>
          <w:rFonts w:ascii="Arial" w:hAnsi="Arial" w:cs="Arial"/>
          <w:b/>
        </w:rPr>
        <w:t>Об Административном регламенте предоставления муниципальной услуги</w:t>
      </w:r>
    </w:p>
    <w:p w:rsidR="00072176" w:rsidRDefault="00072176" w:rsidP="00072176">
      <w:pPr>
        <w:ind w:left="-426" w:hanging="141"/>
        <w:jc w:val="center"/>
        <w:rPr>
          <w:rFonts w:ascii="Arial" w:hAnsi="Arial" w:cs="Arial"/>
          <w:b/>
        </w:rPr>
      </w:pPr>
      <w:r>
        <w:rPr>
          <w:rFonts w:ascii="Arial" w:hAnsi="Arial" w:cs="Arial"/>
          <w:b/>
        </w:rPr>
        <w:t>по выдаче справки ( выписки) в поселке</w:t>
      </w:r>
    </w:p>
    <w:p w:rsidR="00072176" w:rsidRDefault="00072176" w:rsidP="00072176">
      <w:pPr>
        <w:ind w:left="-426" w:hanging="141"/>
        <w:jc w:val="center"/>
        <w:rPr>
          <w:rFonts w:ascii="Arial" w:hAnsi="Arial" w:cs="Arial"/>
          <w:b/>
        </w:rPr>
      </w:pPr>
      <w:r>
        <w:rPr>
          <w:rFonts w:ascii="Arial" w:hAnsi="Arial" w:cs="Arial"/>
          <w:b/>
        </w:rPr>
        <w:t>городского типа Аксубаево Аксубаевского муниципального района</w:t>
      </w:r>
    </w:p>
    <w:bookmarkEnd w:id="0"/>
    <w:p w:rsidR="00072176" w:rsidRDefault="00072176" w:rsidP="00072176">
      <w:pPr>
        <w:ind w:left="-426" w:hanging="141"/>
        <w:jc w:val="both"/>
        <w:rPr>
          <w:rFonts w:ascii="Arial" w:hAnsi="Arial" w:cs="Arial"/>
        </w:rPr>
      </w:pPr>
    </w:p>
    <w:p w:rsidR="00072176" w:rsidRDefault="00072176" w:rsidP="00072176">
      <w:pPr>
        <w:ind w:left="-567" w:firstLine="567"/>
        <w:jc w:val="both"/>
        <w:rPr>
          <w:rFonts w:ascii="Arial" w:hAnsi="Arial" w:cs="Arial"/>
          <w:b/>
        </w:rPr>
      </w:pPr>
      <w:r>
        <w:rPr>
          <w:rFonts w:ascii="Arial" w:hAnsi="Arial" w:cs="Arial"/>
        </w:rPr>
        <w:t xml:space="preserve">В целях обеспечения реализации прав и законных интересов граждан,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06.10.2003 г. № 131-ФЗ «Об общих принципах местного самоуправления РФ», Федеральным законом от 27.07.2010 г. № 210 – 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 Законом Республики Татарстан от 28.07.2008 г. № 45 – ЗРТ «О местном самоуправлении в Республике Татарстан», Исполнительный комитет поселка городского типа Аксубаево Аксубаевского муниципального района </w:t>
      </w:r>
      <w:r>
        <w:rPr>
          <w:rFonts w:ascii="Arial" w:hAnsi="Arial" w:cs="Arial"/>
          <w:b/>
        </w:rPr>
        <w:t>ПОСТАНОВЛЯЕТ:</w:t>
      </w:r>
    </w:p>
    <w:p w:rsidR="00072176" w:rsidRDefault="00072176" w:rsidP="00072176">
      <w:pPr>
        <w:ind w:left="-567" w:firstLine="567"/>
        <w:jc w:val="both"/>
        <w:rPr>
          <w:rFonts w:ascii="Arial" w:hAnsi="Arial" w:cs="Arial"/>
        </w:rPr>
      </w:pPr>
      <w:r>
        <w:rPr>
          <w:rFonts w:ascii="Arial" w:hAnsi="Arial" w:cs="Arial"/>
        </w:rPr>
        <w:t>1. Утвердить прилагаемый Административный регламент предоставления муниципальной услуги по присвоению, изменению и аннулированию адресов в поселке городского типа Аксубаево Аксубаевского муниципального района.</w:t>
      </w:r>
    </w:p>
    <w:p w:rsidR="00072176" w:rsidRDefault="00072176" w:rsidP="00072176">
      <w:pPr>
        <w:ind w:left="-567" w:firstLine="567"/>
        <w:jc w:val="both"/>
        <w:rPr>
          <w:rFonts w:ascii="Arial" w:hAnsi="Arial" w:cs="Arial"/>
        </w:rPr>
      </w:pPr>
      <w:r>
        <w:rPr>
          <w:rFonts w:ascii="Arial" w:hAnsi="Arial" w:cs="Arial"/>
        </w:rPr>
        <w:t>2. Постановление Исполнительного комитета поселка городского типа Аксубаево Аксубаевского муниципального района №15 от 13.12.2018 года «Об утверждении административных регламентов предоставления муниципальных услуг» признать утратившим силу.</w:t>
      </w:r>
    </w:p>
    <w:p w:rsidR="00072176" w:rsidRDefault="00072176" w:rsidP="00072176">
      <w:pPr>
        <w:ind w:left="-567" w:firstLine="567"/>
        <w:jc w:val="both"/>
        <w:rPr>
          <w:rFonts w:ascii="Arial" w:hAnsi="Arial" w:cs="Arial"/>
        </w:rPr>
      </w:pPr>
      <w:r>
        <w:rPr>
          <w:rFonts w:ascii="Arial" w:hAnsi="Arial" w:cs="Arial"/>
        </w:rPr>
        <w:t>3.  Разместить настоящее постановление  на официальном сайте Аксубаевского муниципального района Республики Татарстан (</w:t>
      </w:r>
      <w:hyperlink r:id="rId9" w:history="1">
        <w:r>
          <w:rPr>
            <w:rStyle w:val="ae"/>
            <w:rFonts w:ascii="Arial" w:eastAsia="Gulim" w:hAnsi="Arial" w:cs="Arial"/>
          </w:rPr>
          <w:t>http://aksubayevo.tatarstan.ru</w:t>
        </w:r>
      </w:hyperlink>
      <w:r>
        <w:rPr>
          <w:rFonts w:ascii="Arial" w:hAnsi="Arial" w:cs="Arial"/>
        </w:rPr>
        <w:t>) и опубликовать  на официальном портале правовой информации Республики Татарстан (httр://pravo.tatarstan.ru).</w:t>
      </w:r>
    </w:p>
    <w:p w:rsidR="00072176" w:rsidRDefault="00072176" w:rsidP="00072176">
      <w:pPr>
        <w:ind w:left="-567" w:firstLine="567"/>
        <w:jc w:val="both"/>
        <w:rPr>
          <w:rFonts w:ascii="Arial" w:hAnsi="Arial" w:cs="Arial"/>
        </w:rPr>
      </w:pPr>
      <w:r>
        <w:rPr>
          <w:rFonts w:ascii="Arial" w:hAnsi="Arial" w:cs="Arial"/>
        </w:rPr>
        <w:t xml:space="preserve"> 4. Контроль за исполнением настоящего постановления оставляю за собой.</w:t>
      </w:r>
    </w:p>
    <w:p w:rsidR="00072176" w:rsidRDefault="00072176" w:rsidP="00072176">
      <w:pPr>
        <w:ind w:left="-567"/>
        <w:jc w:val="both"/>
        <w:rPr>
          <w:rFonts w:ascii="Arial" w:hAnsi="Arial" w:cs="Arial"/>
        </w:rPr>
      </w:pPr>
    </w:p>
    <w:p w:rsidR="00072176" w:rsidRDefault="00072176" w:rsidP="00072176">
      <w:pPr>
        <w:ind w:left="-567"/>
        <w:jc w:val="both"/>
        <w:rPr>
          <w:rFonts w:ascii="Arial" w:hAnsi="Arial" w:cs="Arial"/>
        </w:rPr>
      </w:pPr>
    </w:p>
    <w:p w:rsidR="00072176" w:rsidRDefault="006C0D3F" w:rsidP="00072176">
      <w:pPr>
        <w:ind w:left="-567"/>
        <w:jc w:val="both"/>
        <w:rPr>
          <w:rFonts w:ascii="Arial" w:hAnsi="Arial" w:cs="Arial"/>
        </w:rPr>
      </w:pPr>
      <w:r>
        <w:rPr>
          <w:rFonts w:ascii="Arial" w:hAnsi="Arial" w:cs="Arial"/>
        </w:rPr>
        <w:t>И.О.р</w:t>
      </w:r>
      <w:r w:rsidR="00072176">
        <w:rPr>
          <w:rFonts w:ascii="Arial" w:hAnsi="Arial" w:cs="Arial"/>
        </w:rPr>
        <w:t>уководител</w:t>
      </w:r>
      <w:r>
        <w:rPr>
          <w:rFonts w:ascii="Arial" w:hAnsi="Arial" w:cs="Arial"/>
        </w:rPr>
        <w:t>я</w:t>
      </w:r>
      <w:r w:rsidR="00072176">
        <w:rPr>
          <w:rFonts w:ascii="Arial" w:hAnsi="Arial" w:cs="Arial"/>
        </w:rPr>
        <w:t xml:space="preserve"> исполнительного комитета</w:t>
      </w:r>
    </w:p>
    <w:p w:rsidR="00072176" w:rsidRDefault="00072176" w:rsidP="00072176">
      <w:pPr>
        <w:tabs>
          <w:tab w:val="left" w:pos="7140"/>
        </w:tabs>
        <w:ind w:left="-567"/>
        <w:jc w:val="both"/>
        <w:rPr>
          <w:rFonts w:ascii="Arial" w:hAnsi="Arial" w:cs="Arial"/>
        </w:rPr>
      </w:pPr>
      <w:r>
        <w:rPr>
          <w:rFonts w:ascii="Arial" w:hAnsi="Arial" w:cs="Arial"/>
        </w:rPr>
        <w:t>поселка городского типа Аксубаево:</w:t>
      </w:r>
      <w:r>
        <w:rPr>
          <w:rFonts w:ascii="Arial" w:hAnsi="Arial" w:cs="Arial"/>
        </w:rPr>
        <w:tab/>
      </w:r>
      <w:r w:rsidR="006C0D3F">
        <w:rPr>
          <w:rFonts w:ascii="Arial" w:hAnsi="Arial" w:cs="Arial"/>
        </w:rPr>
        <w:t>Н.Н. Богданова</w:t>
      </w:r>
    </w:p>
    <w:p w:rsidR="00072176" w:rsidRDefault="00072176" w:rsidP="00072176">
      <w:pPr>
        <w:ind w:left="5670" w:right="-1"/>
        <w:rPr>
          <w:rFonts w:ascii="Times New Roman" w:hAnsi="Times New Roman"/>
        </w:rPr>
      </w:pPr>
    </w:p>
    <w:p w:rsidR="00072176" w:rsidRDefault="00072176"/>
    <w:p w:rsidR="00072176" w:rsidRDefault="00072176"/>
    <w:p w:rsidR="00072176" w:rsidRDefault="00072176"/>
    <w:p w:rsidR="00072176" w:rsidRDefault="00072176"/>
    <w:p w:rsidR="00072176" w:rsidRDefault="00072176"/>
    <w:p w:rsidR="00072176" w:rsidRDefault="00072176"/>
    <w:p w:rsidR="00072176" w:rsidRDefault="00072176"/>
    <w:p w:rsidR="00072176" w:rsidRDefault="00072176"/>
    <w:p w:rsidR="00072176" w:rsidRDefault="00072176" w:rsidP="004F584D">
      <w:pPr>
        <w:ind w:left="5670" w:right="-1"/>
        <w:rPr>
          <w:rFonts w:ascii="Arial" w:hAnsi="Arial" w:cs="Arial"/>
          <w:sz w:val="22"/>
          <w:szCs w:val="22"/>
        </w:rPr>
      </w:pPr>
    </w:p>
    <w:p w:rsidR="004F584D" w:rsidRPr="00072176" w:rsidRDefault="00072176" w:rsidP="004F584D">
      <w:pPr>
        <w:ind w:left="5670" w:right="-1"/>
        <w:rPr>
          <w:rFonts w:ascii="Arial" w:hAnsi="Arial" w:cs="Arial"/>
          <w:sz w:val="22"/>
          <w:szCs w:val="22"/>
        </w:rPr>
      </w:pPr>
      <w:r>
        <w:rPr>
          <w:rFonts w:ascii="Arial" w:hAnsi="Arial" w:cs="Arial"/>
          <w:sz w:val="22"/>
          <w:szCs w:val="22"/>
        </w:rPr>
        <w:lastRenderedPageBreak/>
        <w:t>У</w:t>
      </w:r>
      <w:r w:rsidR="004F584D" w:rsidRPr="00072176">
        <w:rPr>
          <w:rFonts w:ascii="Arial" w:hAnsi="Arial" w:cs="Arial"/>
          <w:sz w:val="22"/>
          <w:szCs w:val="22"/>
        </w:rPr>
        <w:t xml:space="preserve">твержден </w:t>
      </w:r>
    </w:p>
    <w:p w:rsidR="004F584D" w:rsidRPr="00072176" w:rsidRDefault="004F584D" w:rsidP="004F584D">
      <w:pPr>
        <w:ind w:left="5670" w:right="-1"/>
        <w:rPr>
          <w:rFonts w:ascii="Arial" w:hAnsi="Arial" w:cs="Arial"/>
          <w:sz w:val="22"/>
          <w:szCs w:val="22"/>
        </w:rPr>
      </w:pPr>
      <w:r w:rsidRPr="00072176">
        <w:rPr>
          <w:rFonts w:ascii="Arial" w:hAnsi="Arial" w:cs="Arial"/>
          <w:sz w:val="22"/>
          <w:szCs w:val="22"/>
        </w:rPr>
        <w:t xml:space="preserve">постановлением </w:t>
      </w:r>
      <w:r w:rsidR="004C1AF5" w:rsidRPr="00072176">
        <w:rPr>
          <w:rFonts w:ascii="Arial" w:hAnsi="Arial" w:cs="Arial"/>
          <w:sz w:val="22"/>
          <w:szCs w:val="22"/>
        </w:rPr>
        <w:t xml:space="preserve">Исполнительного комитета </w:t>
      </w:r>
      <w:r w:rsidR="00072176" w:rsidRPr="00072176">
        <w:rPr>
          <w:rFonts w:ascii="Arial" w:hAnsi="Arial" w:cs="Arial"/>
          <w:sz w:val="22"/>
          <w:szCs w:val="22"/>
        </w:rPr>
        <w:t>пгт Аксубаево</w:t>
      </w:r>
      <w:r w:rsidR="004C1AF5" w:rsidRPr="00072176">
        <w:rPr>
          <w:rFonts w:ascii="Arial" w:hAnsi="Arial" w:cs="Arial"/>
          <w:sz w:val="22"/>
          <w:szCs w:val="22"/>
        </w:rPr>
        <w:t xml:space="preserve"> Аксубаевского </w:t>
      </w:r>
      <w:r w:rsidRPr="00072176">
        <w:rPr>
          <w:rFonts w:ascii="Arial" w:hAnsi="Arial" w:cs="Arial"/>
          <w:sz w:val="22"/>
          <w:szCs w:val="22"/>
        </w:rPr>
        <w:t>муниципального района</w:t>
      </w:r>
      <w:r w:rsidRPr="00072176">
        <w:rPr>
          <w:rFonts w:ascii="Arial" w:hAnsi="Arial" w:cs="Arial"/>
          <w:sz w:val="22"/>
          <w:szCs w:val="22"/>
        </w:rPr>
        <w:br/>
        <w:t xml:space="preserve">Республики Татарстан </w:t>
      </w:r>
    </w:p>
    <w:p w:rsidR="00641A45" w:rsidRPr="00072176" w:rsidRDefault="004C1AF5" w:rsidP="001B3DFC">
      <w:pPr>
        <w:keepNext/>
        <w:ind w:left="5670" w:right="-1"/>
        <w:outlineLvl w:val="0"/>
        <w:rPr>
          <w:rFonts w:ascii="Arial" w:hAnsi="Arial" w:cs="Arial"/>
          <w:b/>
          <w:bCs/>
          <w:sz w:val="22"/>
          <w:szCs w:val="22"/>
          <w:lang w:eastAsia="zh-CN"/>
        </w:rPr>
      </w:pPr>
      <w:r w:rsidRPr="00072176">
        <w:rPr>
          <w:rFonts w:ascii="Arial" w:hAnsi="Arial" w:cs="Arial"/>
          <w:sz w:val="22"/>
          <w:szCs w:val="22"/>
        </w:rPr>
        <w:t>от «</w:t>
      </w:r>
      <w:r w:rsidR="00072176">
        <w:rPr>
          <w:rFonts w:ascii="Arial" w:hAnsi="Arial" w:cs="Arial"/>
          <w:sz w:val="22"/>
          <w:szCs w:val="22"/>
        </w:rPr>
        <w:t xml:space="preserve">    </w:t>
      </w:r>
      <w:r w:rsidRPr="00072176">
        <w:rPr>
          <w:rFonts w:ascii="Arial" w:hAnsi="Arial" w:cs="Arial"/>
          <w:sz w:val="22"/>
          <w:szCs w:val="22"/>
        </w:rPr>
        <w:t>»</w:t>
      </w:r>
      <w:r w:rsidR="0018156F" w:rsidRPr="00072176">
        <w:rPr>
          <w:rFonts w:ascii="Arial" w:hAnsi="Arial" w:cs="Arial"/>
          <w:sz w:val="22"/>
          <w:szCs w:val="22"/>
        </w:rPr>
        <w:t xml:space="preserve"> марта</w:t>
      </w:r>
      <w:r w:rsidRPr="00072176">
        <w:rPr>
          <w:rFonts w:ascii="Arial" w:hAnsi="Arial" w:cs="Arial"/>
          <w:sz w:val="22"/>
          <w:szCs w:val="22"/>
        </w:rPr>
        <w:t xml:space="preserve"> 2022</w:t>
      </w:r>
      <w:r w:rsidR="004F584D" w:rsidRPr="00072176">
        <w:rPr>
          <w:rFonts w:ascii="Arial" w:hAnsi="Arial" w:cs="Arial"/>
          <w:sz w:val="22"/>
          <w:szCs w:val="22"/>
        </w:rPr>
        <w:t xml:space="preserve"> г. №</w:t>
      </w:r>
      <w:r w:rsidR="00072176">
        <w:rPr>
          <w:rFonts w:ascii="Arial" w:hAnsi="Arial" w:cs="Arial"/>
          <w:sz w:val="22"/>
          <w:szCs w:val="22"/>
        </w:rPr>
        <w:t xml:space="preserve"> </w:t>
      </w:r>
    </w:p>
    <w:p w:rsidR="009D1C6F" w:rsidRPr="00072176" w:rsidRDefault="009D1C6F" w:rsidP="005A7931">
      <w:pPr>
        <w:keepNext/>
        <w:ind w:right="-1"/>
        <w:jc w:val="center"/>
        <w:outlineLvl w:val="0"/>
        <w:rPr>
          <w:rFonts w:ascii="Arial" w:hAnsi="Arial" w:cs="Arial"/>
          <w:b/>
          <w:bCs/>
          <w:sz w:val="22"/>
          <w:szCs w:val="22"/>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r w:rsidR="006C0D3F">
        <w:rPr>
          <w:rFonts w:ascii="Arial" w:hAnsi="Arial" w:cs="Arial"/>
          <w:spacing w:val="1"/>
        </w:rPr>
        <w:t>пгт Аксубаево</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6C0D3F">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t xml:space="preserve">Исполнительный комитет </w:t>
      </w:r>
      <w:r w:rsidR="006C0D3F">
        <w:rPr>
          <w:rFonts w:ascii="Arial" w:hAnsi="Arial" w:cs="Arial"/>
        </w:rPr>
        <w:t>пгт Аксубаево</w:t>
      </w:r>
      <w:r w:rsidRPr="00044CE8">
        <w:rPr>
          <w:rFonts w:ascii="Arial" w:hAnsi="Arial" w:cs="Arial"/>
        </w:rPr>
        <w:t xml:space="preserve"> Аксубаевского муниципального района Республики Татарстан</w:t>
      </w: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lastRenderedPageBreak/>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lastRenderedPageBreak/>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lastRenderedPageBreak/>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lastRenderedPageBreak/>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lastRenderedPageBreak/>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lastRenderedPageBreak/>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lastRenderedPageBreak/>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w:t>
      </w:r>
      <w:r w:rsidR="006C0D3F">
        <w:rPr>
          <w:rFonts w:ascii="Arial" w:hAnsi="Arial" w:cs="Arial"/>
        </w:rPr>
        <w:t>пгт Аксубаево</w:t>
      </w:r>
      <w:r w:rsidR="00597113" w:rsidRPr="00044CE8">
        <w:rPr>
          <w:rFonts w:ascii="Arial" w:hAnsi="Arial" w:cs="Arial"/>
        </w:rPr>
        <w:t xml:space="preserve">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lastRenderedPageBreak/>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lastRenderedPageBreak/>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w:t>
      </w:r>
      <w:r w:rsidR="00B460B6" w:rsidRPr="00044CE8">
        <w:rPr>
          <w:rFonts w:ascii="Arial" w:hAnsi="Arial" w:cs="Arial"/>
        </w:rPr>
        <w:lastRenderedPageBreak/>
        <w:t xml:space="preserve">комитета </w:t>
      </w:r>
      <w:r w:rsidR="006C0D3F">
        <w:rPr>
          <w:rFonts w:ascii="Arial" w:hAnsi="Arial" w:cs="Arial"/>
        </w:rPr>
        <w:t>пгт Аксубаево</w:t>
      </w:r>
      <w:r w:rsidR="00B460B6" w:rsidRPr="00044CE8">
        <w:rPr>
          <w:rFonts w:ascii="Arial" w:hAnsi="Arial" w:cs="Arial"/>
        </w:rPr>
        <w:t xml:space="preserve">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проект решения </w:t>
      </w:r>
      <w:r w:rsidRPr="00044CE8">
        <w:rPr>
          <w:rFonts w:ascii="Arial" w:hAnsi="Arial" w:cs="Arial"/>
        </w:rPr>
        <w:lastRenderedPageBreak/>
        <w:t>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r w:rsidR="006C0D3F">
        <w:rPr>
          <w:rFonts w:ascii="Arial" w:hAnsi="Arial" w:cs="Arial"/>
        </w:rPr>
        <w:t>пгт Аксубаево</w:t>
      </w:r>
      <w:r w:rsidR="007E2D50" w:rsidRPr="00044CE8">
        <w:rPr>
          <w:rFonts w:ascii="Arial" w:hAnsi="Arial" w:cs="Arial"/>
        </w:rPr>
        <w:t xml:space="preserve">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r w:rsidR="006C0D3F">
        <w:rPr>
          <w:rFonts w:ascii="Arial" w:hAnsi="Arial" w:cs="Arial"/>
        </w:rPr>
        <w:t>пгт Аксубаево</w:t>
      </w:r>
      <w:r w:rsidR="00FC32FB" w:rsidRPr="00044CE8">
        <w:rPr>
          <w:rFonts w:ascii="Arial" w:hAnsi="Arial" w:cs="Arial"/>
        </w:rPr>
        <w:t xml:space="preserve">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w:t>
      </w:r>
      <w:r w:rsidR="00B219B3" w:rsidRPr="00044CE8">
        <w:rPr>
          <w:rFonts w:ascii="Arial" w:hAnsi="Arial" w:cs="Arial"/>
        </w:rPr>
        <w:lastRenderedPageBreak/>
        <w:t>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lastRenderedPageBreak/>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044CE8">
        <w:rPr>
          <w:rFonts w:ascii="Arial" w:hAnsi="Arial" w:cs="Arial"/>
          <w:sz w:val="24"/>
          <w:szCs w:val="24"/>
        </w:rPr>
        <w:lastRenderedPageBreak/>
        <w:t xml:space="preserve">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044CE8">
        <w:rPr>
          <w:rFonts w:ascii="Arial" w:hAnsi="Arial" w:cs="Arial"/>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044CE8">
        <w:rPr>
          <w:rFonts w:ascii="Arial" w:hAnsi="Arial" w:cs="Arial"/>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B56DEA"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C6A21" w:rsidRPr="00054AD4" w:rsidRDefault="002C6A21"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B56DEA"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C6A21" w:rsidRPr="00054AD4" w:rsidRDefault="002C6A21"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B56DEA"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2C6A21" w:rsidRPr="00054AD4" w:rsidRDefault="002C6A21"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1"/>
      <w:pgSz w:w="11907" w:h="16840" w:code="9"/>
      <w:pgMar w:top="709"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DEA" w:rsidRDefault="00B56DEA" w:rsidP="00485885">
      <w:r>
        <w:separator/>
      </w:r>
    </w:p>
  </w:endnote>
  <w:endnote w:type="continuationSeparator" w:id="0">
    <w:p w:rsidR="00B56DEA" w:rsidRDefault="00B56DE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DEA" w:rsidRDefault="00B56DEA" w:rsidP="00485885">
      <w:r>
        <w:separator/>
      </w:r>
    </w:p>
  </w:footnote>
  <w:footnote w:type="continuationSeparator" w:id="0">
    <w:p w:rsidR="00B56DEA" w:rsidRDefault="00B56DE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2C6A21" w:rsidRDefault="002C6A21">
        <w:pPr>
          <w:pStyle w:val="a3"/>
          <w:jc w:val="center"/>
        </w:pPr>
        <w:r>
          <w:rPr>
            <w:noProof/>
          </w:rPr>
          <w:fldChar w:fldCharType="begin"/>
        </w:r>
        <w:r>
          <w:rPr>
            <w:noProof/>
          </w:rPr>
          <w:instrText>PAGE   \* MERGEFORMAT</w:instrText>
        </w:r>
        <w:r>
          <w:rPr>
            <w:noProof/>
          </w:rPr>
          <w:fldChar w:fldCharType="separate"/>
        </w:r>
        <w:r w:rsidR="006C0D3F">
          <w:rPr>
            <w:noProof/>
          </w:rPr>
          <w:t>32</w:t>
        </w:r>
        <w:r>
          <w:rPr>
            <w:noProof/>
          </w:rPr>
          <w:fldChar w:fldCharType="end"/>
        </w:r>
      </w:p>
    </w:sdtContent>
  </w:sdt>
  <w:p w:rsidR="002C6A21" w:rsidRDefault="002C6A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176"/>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323C"/>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0D3F"/>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56DEA"/>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47D5D4A0-6A89-47A6-AA51-31C2BDF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8827804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aksubaye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F435-08E6-4537-850C-3E33DBED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13386</Words>
  <Characters>76306</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Aks</cp:lastModifiedBy>
  <cp:revision>43</cp:revision>
  <cp:lastPrinted>2022-03-16T17:05:00Z</cp:lastPrinted>
  <dcterms:created xsi:type="dcterms:W3CDTF">2022-02-22T07:25:00Z</dcterms:created>
  <dcterms:modified xsi:type="dcterms:W3CDTF">2022-03-25T07:28:00Z</dcterms:modified>
</cp:coreProperties>
</file>