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1A5F49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AB5B6A" w:rsidRDefault="00AB5B6A" w:rsidP="00AB5B6A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  <w:bookmarkStart w:id="0" w:name="_GoBack"/>
      <w:bookmarkEnd w:id="0"/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>РЕШЕНИЕ</w:t>
      </w:r>
    </w:p>
    <w:p w:rsidR="009E4462" w:rsidRPr="001A5F49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 xml:space="preserve">№                                                                                             от </w:t>
      </w: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C2654F" w:rsidRPr="00EE2AC1" w:rsidRDefault="00C2654F" w:rsidP="00C2654F">
      <w:pPr>
        <w:ind w:right="4649"/>
        <w:rPr>
          <w:rFonts w:ascii="Arial" w:eastAsia="Calibri" w:hAnsi="Arial" w:cs="Arial"/>
          <w:sz w:val="24"/>
          <w:szCs w:val="24"/>
        </w:rPr>
      </w:pPr>
      <w:r w:rsidRPr="00EE2AC1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Староузеевского сельского поселения Аксубаевского муниципального района Республики Татарстан от 04.08.2014г № 9 "Об утверждении Правил землепользования и застройки муниципального образования «Староузеевское сельское поселение» </w:t>
      </w:r>
    </w:p>
    <w:p w:rsidR="00C2654F" w:rsidRPr="00C2654F" w:rsidRDefault="00C2654F" w:rsidP="00C2654F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C2654F" w:rsidRPr="00C2654F" w:rsidRDefault="00C2654F" w:rsidP="00C265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2654F">
        <w:rPr>
          <w:rFonts w:ascii="Arial" w:hAnsi="Arial" w:cs="Arial"/>
          <w:sz w:val="24"/>
          <w:szCs w:val="24"/>
          <w:lang w:eastAsia="ru-RU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29.11.2021г., Уставом </w:t>
      </w:r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C2654F">
        <w:rPr>
          <w:rFonts w:ascii="Arial" w:hAnsi="Arial" w:cs="Arial"/>
          <w:sz w:val="24"/>
          <w:szCs w:val="24"/>
          <w:lang w:eastAsia="ru-RU"/>
        </w:rPr>
        <w:t xml:space="preserve">ского сельского поселения Аксубаевского муниципального района в целях приведения в соответствие с действующим законодательством </w:t>
      </w:r>
      <w:r w:rsidRPr="00C2654F">
        <w:rPr>
          <w:rFonts w:ascii="Arial" w:eastAsia="Times New Roman CYR" w:hAnsi="Arial" w:cs="Arial"/>
          <w:sz w:val="24"/>
          <w:szCs w:val="24"/>
          <w:lang w:eastAsia="ru-RU"/>
        </w:rPr>
        <w:t xml:space="preserve">Совет </w:t>
      </w:r>
      <w:r>
        <w:rPr>
          <w:rFonts w:ascii="Arial" w:eastAsia="Times New Roman CYR" w:hAnsi="Arial" w:cs="Arial"/>
          <w:sz w:val="24"/>
          <w:szCs w:val="24"/>
          <w:lang w:eastAsia="ru-RU"/>
        </w:rPr>
        <w:t>Староузеев</w:t>
      </w:r>
      <w:r w:rsidRPr="00C2654F">
        <w:rPr>
          <w:rFonts w:ascii="Arial" w:eastAsia="Times New Roman CYR" w:hAnsi="Arial" w:cs="Arial"/>
          <w:sz w:val="24"/>
          <w:szCs w:val="24"/>
          <w:lang w:eastAsia="ru-RU"/>
        </w:rPr>
        <w:t xml:space="preserve">ского  сельского поселения Аксубаевского  муниципального района </w:t>
      </w:r>
      <w:r w:rsidRPr="00C2654F">
        <w:rPr>
          <w:rFonts w:ascii="Arial" w:eastAsia="Times New Roman CYR" w:hAnsi="Arial" w:cs="Arial"/>
          <w:b/>
          <w:sz w:val="24"/>
          <w:szCs w:val="24"/>
          <w:lang w:eastAsia="ru-RU"/>
        </w:rPr>
        <w:t>РЕШИЛ:</w:t>
      </w:r>
    </w:p>
    <w:p w:rsidR="00C2654F" w:rsidRPr="00C2654F" w:rsidRDefault="00C2654F" w:rsidP="00C2654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2654F">
        <w:rPr>
          <w:rFonts w:ascii="Arial" w:hAnsi="Arial" w:cs="Arial"/>
          <w:sz w:val="24"/>
          <w:szCs w:val="24"/>
        </w:rPr>
        <w:t xml:space="preserve">1. Внести в решение Совета </w:t>
      </w:r>
      <w:r>
        <w:rPr>
          <w:rFonts w:ascii="Arial" w:hAnsi="Arial" w:cs="Arial"/>
          <w:sz w:val="24"/>
          <w:szCs w:val="24"/>
        </w:rPr>
        <w:t>Староузеев</w:t>
      </w:r>
      <w:r w:rsidRPr="00C2654F">
        <w:rPr>
          <w:rFonts w:ascii="Arial" w:hAnsi="Arial" w:cs="Arial"/>
          <w:sz w:val="24"/>
          <w:szCs w:val="24"/>
        </w:rPr>
        <w:t xml:space="preserve">ского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04</w:t>
      </w:r>
      <w:r w:rsidRPr="00C26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августа</w:t>
      </w:r>
      <w:r w:rsidRPr="00C2654F">
        <w:rPr>
          <w:rFonts w:ascii="Arial" w:hAnsi="Arial" w:cs="Arial"/>
          <w:sz w:val="24"/>
          <w:szCs w:val="24"/>
        </w:rPr>
        <w:t xml:space="preserve"> 2014 года №</w:t>
      </w:r>
      <w:r>
        <w:rPr>
          <w:rFonts w:ascii="Arial" w:hAnsi="Arial" w:cs="Arial"/>
          <w:sz w:val="24"/>
          <w:szCs w:val="24"/>
        </w:rPr>
        <w:t xml:space="preserve"> 9</w:t>
      </w:r>
      <w:r w:rsidRPr="00C2654F">
        <w:rPr>
          <w:rFonts w:ascii="Arial" w:hAnsi="Arial" w:cs="Arial"/>
          <w:sz w:val="24"/>
          <w:szCs w:val="24"/>
        </w:rPr>
        <w:t xml:space="preserve">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sz w:val="24"/>
          <w:szCs w:val="24"/>
        </w:rPr>
        <w:t>Староузеев</w:t>
      </w:r>
      <w:r w:rsidRPr="00C2654F">
        <w:rPr>
          <w:rFonts w:ascii="Arial" w:hAnsi="Arial" w:cs="Arial"/>
          <w:sz w:val="24"/>
          <w:szCs w:val="24"/>
        </w:rPr>
        <w:t xml:space="preserve">ское сельское поселение» следующие изменения:    </w:t>
      </w:r>
    </w:p>
    <w:p w:rsidR="00C2654F" w:rsidRPr="00C2654F" w:rsidRDefault="00C2654F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b/>
          <w:sz w:val="24"/>
          <w:szCs w:val="24"/>
        </w:rPr>
        <w:t>1.1.  Абзац 2 пункта 2 статьи 30</w:t>
      </w:r>
      <w:r w:rsidRPr="00C2654F">
        <w:rPr>
          <w:rFonts w:ascii="Arial" w:eastAsia="Calibri" w:hAnsi="Arial" w:cs="Arial"/>
          <w:sz w:val="24"/>
          <w:szCs w:val="24"/>
        </w:rPr>
        <w:t>дополнить словами:</w:t>
      </w:r>
    </w:p>
    <w:p w:rsidR="00C2654F" w:rsidRPr="00C2654F" w:rsidRDefault="00C2654F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sz w:val="24"/>
          <w:szCs w:val="24"/>
        </w:rPr>
        <w:t xml:space="preserve"> - принятие решения о комплексном развитии территории;</w:t>
      </w:r>
    </w:p>
    <w:p w:rsidR="00C2654F" w:rsidRPr="00C2654F" w:rsidRDefault="00C2654F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sz w:val="24"/>
          <w:szCs w:val="24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C2654F" w:rsidRDefault="00C2654F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E2AC1" w:rsidRDefault="00EE2AC1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E2AC1" w:rsidRPr="00C2654F" w:rsidRDefault="00EE2AC1" w:rsidP="00C2654F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2654F" w:rsidRPr="00C2654F" w:rsidRDefault="00C2654F" w:rsidP="00C2654F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C2654F">
        <w:rPr>
          <w:rFonts w:ascii="Arial" w:eastAsia="Calibri" w:hAnsi="Arial" w:cs="Arial"/>
          <w:b/>
          <w:sz w:val="24"/>
          <w:szCs w:val="24"/>
        </w:rPr>
        <w:t xml:space="preserve"> 1.2. Дополнить пункт 3 статьи 30 следующими абзацами:</w:t>
      </w:r>
    </w:p>
    <w:p w:rsidR="00C2654F" w:rsidRPr="00C2654F" w:rsidRDefault="00C2654F" w:rsidP="00C2654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sz w:val="24"/>
          <w:szCs w:val="24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C2654F" w:rsidRPr="00C2654F" w:rsidRDefault="00C2654F" w:rsidP="00C2654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sz w:val="24"/>
          <w:szCs w:val="24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C2654F" w:rsidRPr="00C2654F" w:rsidRDefault="00C2654F" w:rsidP="00C2654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2654F">
        <w:rPr>
          <w:rFonts w:ascii="Arial" w:eastAsia="Calibri" w:hAnsi="Arial" w:cs="Arial"/>
          <w:sz w:val="24"/>
          <w:szCs w:val="24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C2654F" w:rsidRPr="00C2654F" w:rsidRDefault="00C2654F" w:rsidP="00C265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654F" w:rsidRPr="00C2654F" w:rsidRDefault="00C2654F" w:rsidP="00C2654F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2654F">
        <w:rPr>
          <w:rFonts w:ascii="Arial" w:hAnsi="Arial" w:cs="Arial"/>
          <w:sz w:val="24"/>
          <w:szCs w:val="24"/>
          <w:lang w:eastAsia="ru-RU"/>
        </w:rPr>
        <w:t>2. Настоящее решение опубликовать на официальном сайте Аксубаевского муниципального района (</w:t>
      </w:r>
      <w:r w:rsidRPr="00C2654F">
        <w:rPr>
          <w:rFonts w:ascii="Arial" w:hAnsi="Arial" w:cs="Arial"/>
          <w:b/>
          <w:sz w:val="24"/>
          <w:szCs w:val="24"/>
          <w:lang w:val="en-US"/>
        </w:rPr>
        <w:t>http</w:t>
      </w:r>
      <w:r w:rsidRPr="00C2654F">
        <w:rPr>
          <w:rFonts w:ascii="Arial" w:hAnsi="Arial" w:cs="Arial"/>
          <w:b/>
          <w:sz w:val="24"/>
          <w:szCs w:val="24"/>
        </w:rPr>
        <w:t xml:space="preserve">:// </w:t>
      </w:r>
      <w:r w:rsidRPr="00C2654F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C2654F">
        <w:rPr>
          <w:rFonts w:ascii="Arial" w:hAnsi="Arial" w:cs="Arial"/>
          <w:b/>
          <w:sz w:val="24"/>
          <w:szCs w:val="24"/>
        </w:rPr>
        <w:t>.</w:t>
      </w:r>
      <w:r w:rsidRPr="00C2654F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C2654F">
        <w:rPr>
          <w:rFonts w:ascii="Arial" w:hAnsi="Arial" w:cs="Arial"/>
          <w:b/>
          <w:sz w:val="24"/>
          <w:szCs w:val="24"/>
        </w:rPr>
        <w:t>.</w:t>
      </w:r>
      <w:r w:rsidRPr="00C2654F">
        <w:rPr>
          <w:rFonts w:ascii="Arial" w:hAnsi="Arial" w:cs="Arial"/>
          <w:b/>
          <w:sz w:val="24"/>
          <w:szCs w:val="24"/>
          <w:lang w:val="en-US"/>
        </w:rPr>
        <w:t>ru</w:t>
      </w:r>
      <w:r w:rsidRPr="00C2654F">
        <w:rPr>
          <w:rFonts w:ascii="Arial" w:hAnsi="Arial" w:cs="Arial"/>
          <w:sz w:val="24"/>
          <w:szCs w:val="24"/>
          <w:lang w:eastAsia="ru-RU"/>
        </w:rPr>
        <w:t>) и на официальном сайте правовой информации (//httр:pravo.tatarstan.ru)</w:t>
      </w:r>
      <w:r w:rsidR="00EE2AC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654F">
        <w:rPr>
          <w:rFonts w:ascii="Arial" w:hAnsi="Arial" w:cs="Arial"/>
          <w:sz w:val="24"/>
          <w:szCs w:val="24"/>
          <w:lang w:eastAsia="ru-RU"/>
        </w:rPr>
        <w:t xml:space="preserve">в установленный законом срок и обнародовать на информационных стендах </w:t>
      </w:r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C2654F">
        <w:rPr>
          <w:rFonts w:ascii="Arial" w:hAnsi="Arial" w:cs="Arial"/>
          <w:sz w:val="24"/>
          <w:szCs w:val="24"/>
          <w:lang w:eastAsia="ru-RU"/>
        </w:rPr>
        <w:t>ского сельского поселения.</w:t>
      </w:r>
    </w:p>
    <w:p w:rsidR="00C2654F" w:rsidRPr="00C2654F" w:rsidRDefault="00C2654F" w:rsidP="00C2654F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2654F">
        <w:rPr>
          <w:rFonts w:ascii="Arial" w:hAnsi="Arial" w:cs="Arial"/>
          <w:sz w:val="24"/>
          <w:szCs w:val="24"/>
          <w:lang w:eastAsia="ru-RU"/>
        </w:rPr>
        <w:t>3. Контроль за исполнением данного решения оставляю за собой.</w:t>
      </w:r>
    </w:p>
    <w:p w:rsidR="00C2654F" w:rsidRPr="00C2654F" w:rsidRDefault="00C2654F" w:rsidP="00C2654F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C2654F" w:rsidRPr="00C2654F" w:rsidRDefault="00C2654F" w:rsidP="00C2654F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C2654F" w:rsidRPr="00C2654F" w:rsidRDefault="00C2654F" w:rsidP="00C2654F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F902A6" w:rsidRPr="001A5F49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1A5F49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E7769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1A5F49">
        <w:rPr>
          <w:rFonts w:ascii="Arial" w:hAnsi="Arial" w:cs="Arial"/>
          <w:sz w:val="24"/>
          <w:szCs w:val="24"/>
          <w:lang w:eastAsia="ru-RU"/>
        </w:rPr>
        <w:t>Н.В.Айдова</w:t>
      </w:r>
    </w:p>
    <w:sectPr w:rsidR="00CE7769" w:rsidRPr="001A5F49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1C" w:rsidRDefault="0043161C">
      <w:pPr>
        <w:spacing w:after="0" w:line="240" w:lineRule="auto"/>
      </w:pPr>
      <w:r>
        <w:separator/>
      </w:r>
    </w:p>
  </w:endnote>
  <w:endnote w:type="continuationSeparator" w:id="0">
    <w:p w:rsidR="0043161C" w:rsidRDefault="0043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EE2AC1">
      <w:rPr>
        <w:noProof/>
      </w:rPr>
      <w:t>C:\Users\Suzeev\Documents\решения 2022\решения\решение №37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1C" w:rsidRDefault="0043161C">
      <w:pPr>
        <w:spacing w:after="0" w:line="240" w:lineRule="auto"/>
      </w:pPr>
      <w:r>
        <w:separator/>
      </w:r>
    </w:p>
  </w:footnote>
  <w:footnote w:type="continuationSeparator" w:id="0">
    <w:p w:rsidR="0043161C" w:rsidRDefault="0043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709C6"/>
    <w:rsid w:val="000C7E2D"/>
    <w:rsid w:val="00114B20"/>
    <w:rsid w:val="00124943"/>
    <w:rsid w:val="0019307D"/>
    <w:rsid w:val="001A5F49"/>
    <w:rsid w:val="002906AC"/>
    <w:rsid w:val="0032381A"/>
    <w:rsid w:val="003329B1"/>
    <w:rsid w:val="0043161C"/>
    <w:rsid w:val="00476C47"/>
    <w:rsid w:val="004C3409"/>
    <w:rsid w:val="005D177A"/>
    <w:rsid w:val="005D1B4A"/>
    <w:rsid w:val="006321D3"/>
    <w:rsid w:val="00696A22"/>
    <w:rsid w:val="00773F59"/>
    <w:rsid w:val="00822D67"/>
    <w:rsid w:val="009C04B3"/>
    <w:rsid w:val="009E4462"/>
    <w:rsid w:val="00AB5B6A"/>
    <w:rsid w:val="00AE3E6D"/>
    <w:rsid w:val="00B57179"/>
    <w:rsid w:val="00C01A30"/>
    <w:rsid w:val="00C1668F"/>
    <w:rsid w:val="00C2654F"/>
    <w:rsid w:val="00CA4840"/>
    <w:rsid w:val="00CE7769"/>
    <w:rsid w:val="00D04750"/>
    <w:rsid w:val="00DF63F5"/>
    <w:rsid w:val="00E86E7D"/>
    <w:rsid w:val="00E94B93"/>
    <w:rsid w:val="00EB33E4"/>
    <w:rsid w:val="00ED0CF6"/>
    <w:rsid w:val="00EE2AC1"/>
    <w:rsid w:val="00EF3C1F"/>
    <w:rsid w:val="00F275EA"/>
    <w:rsid w:val="00F452E2"/>
    <w:rsid w:val="00F6745F"/>
    <w:rsid w:val="00F8058B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1A5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33</cp:revision>
  <cp:lastPrinted>2022-05-16T07:04:00Z</cp:lastPrinted>
  <dcterms:created xsi:type="dcterms:W3CDTF">2022-05-05T07:12:00Z</dcterms:created>
  <dcterms:modified xsi:type="dcterms:W3CDTF">2022-05-16T12:17:00Z</dcterms:modified>
</cp:coreProperties>
</file>