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D2" w:rsidRDefault="004044D2" w:rsidP="004044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27D50" w:rsidRPr="001421A5" w:rsidRDefault="00BC7560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421A5" w:rsidRPr="001421A5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C7560" w:rsidRPr="001421A5" w:rsidRDefault="00BC7560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21A5" w:rsidRPr="001421A5" w:rsidRDefault="001421A5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2D51F5" w:rsidRPr="001421A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C7560" w:rsidRPr="00142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21A5" w:rsidRPr="001421A5" w:rsidRDefault="001421A5" w:rsidP="002D5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51F5" w:rsidRDefault="001421A5" w:rsidP="002D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</w:t>
      </w:r>
      <w:r w:rsidR="004044D2">
        <w:rPr>
          <w:rFonts w:ascii="Times New Roman" w:hAnsi="Times New Roman" w:cs="Times New Roman"/>
          <w:sz w:val="28"/>
          <w:szCs w:val="28"/>
        </w:rPr>
        <w:t xml:space="preserve">              от </w:t>
      </w:r>
      <w:r w:rsidR="00BC7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D51F5" w:rsidRDefault="002D51F5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Pr="001421A5" w:rsidRDefault="002D51F5" w:rsidP="001421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(«ДОРОЖНАЯ КАРТА</w:t>
      </w:r>
      <w:proofErr w:type="gramStart"/>
      <w:r w:rsidRPr="001421A5">
        <w:rPr>
          <w:rFonts w:ascii="Times New Roman" w:hAnsi="Times New Roman" w:cs="Times New Roman"/>
          <w:b/>
          <w:sz w:val="28"/>
          <w:szCs w:val="28"/>
        </w:rPr>
        <w:t>»)  по</w:t>
      </w:r>
      <w:proofErr w:type="gramEnd"/>
      <w:r w:rsidRPr="001421A5">
        <w:rPr>
          <w:rFonts w:ascii="Times New Roman" w:hAnsi="Times New Roman" w:cs="Times New Roman"/>
          <w:b/>
          <w:sz w:val="28"/>
          <w:szCs w:val="28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1421A5">
        <w:rPr>
          <w:rFonts w:ascii="Times New Roman" w:hAnsi="Times New Roman" w:cs="Times New Roman"/>
          <w:b/>
          <w:sz w:val="28"/>
          <w:szCs w:val="28"/>
        </w:rPr>
        <w:t xml:space="preserve">х объектов в концессию по населенным пунктам </w:t>
      </w:r>
      <w:r w:rsidR="001421A5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="00B262C5" w:rsidRPr="001421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E4A8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r w:rsidR="001A7E3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>
        <w:rPr>
          <w:rFonts w:ascii="Times New Roman" w:hAnsi="Times New Roman" w:cs="Times New Roman"/>
          <w:sz w:val="28"/>
          <w:szCs w:val="28"/>
        </w:rPr>
        <w:t xml:space="preserve"> по объектам систем водоснабжения Исполнительный комитет </w:t>
      </w:r>
      <w:r w:rsidR="0004431B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="00961361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ПОСТАНОВЛЯЕТ: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(«ДОРОЖНАЯ КАРТА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»)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 w:rsidR="00122946"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E4235A" w:rsidRPr="00E4235A" w:rsidRDefault="00E4235A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35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http://a</w:t>
        </w:r>
        <w:proofErr w:type="spellStart"/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ksubae</w:t>
        </w:r>
        <w:proofErr w:type="spellEnd"/>
        <w:r w:rsidRPr="00E4235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vo.tatarstan.ru</w:t>
        </w:r>
      </w:hyperlink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r w:rsidR="00122946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662DE6" w:rsidRDefault="0012294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662DE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 w:rsidR="001D63E4">
        <w:rPr>
          <w:rFonts w:ascii="Times New Roman" w:hAnsi="Times New Roman" w:cs="Times New Roman"/>
          <w:sz w:val="28"/>
          <w:szCs w:val="28"/>
        </w:rPr>
        <w:t>С.М. Маклаков</w:t>
      </w:r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 w:rsidSect="004044D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62DE6" w:rsidRPr="00465D5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4044D2">
        <w:rPr>
          <w:rFonts w:ascii="Times New Roman" w:hAnsi="Times New Roman" w:cs="Times New Roman"/>
          <w:sz w:val="24"/>
          <w:szCs w:val="24"/>
        </w:rPr>
        <w:t xml:space="preserve"> проекту постановления</w:t>
      </w:r>
      <w:r w:rsidRPr="00465D56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</w:p>
    <w:p w:rsidR="00662DE6" w:rsidRPr="00465D5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t xml:space="preserve"> </w:t>
      </w:r>
      <w:r w:rsidR="001D63E4" w:rsidRPr="00465D56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465D5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5D56" w:rsidRPr="00465D56" w:rsidRDefault="00662DE6" w:rsidP="00465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5D56"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662DE6" w:rsidRPr="00465D56" w:rsidRDefault="00465D56" w:rsidP="00465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044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DE6" w:rsidRPr="00465D56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План мероприятий «Дорожная карта» по заключен</w:t>
      </w:r>
      <w:r w:rsidR="00BC7560">
        <w:rPr>
          <w:rFonts w:ascii="Times New Roman" w:hAnsi="Times New Roman" w:cs="Times New Roman"/>
          <w:sz w:val="28"/>
          <w:szCs w:val="28"/>
        </w:rPr>
        <w:t xml:space="preserve">ию концессионного соглашения в </w:t>
      </w:r>
      <w:proofErr w:type="spellStart"/>
      <w:r w:rsidR="001D63E4">
        <w:rPr>
          <w:rFonts w:ascii="Times New Roman" w:hAnsi="Times New Roman" w:cs="Times New Roman"/>
          <w:sz w:val="28"/>
          <w:szCs w:val="28"/>
        </w:rPr>
        <w:t>Староильдеряковском</w:t>
      </w:r>
      <w:proofErr w:type="spellEnd"/>
      <w:r w:rsidR="00BC7560">
        <w:rPr>
          <w:rFonts w:ascii="Times New Roman" w:hAnsi="Times New Roman" w:cs="Times New Roman"/>
          <w:sz w:val="28"/>
          <w:szCs w:val="28"/>
        </w:rPr>
        <w:t xml:space="preserve"> </w:t>
      </w:r>
      <w:r w:rsidRPr="00631E63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31E63">
        <w:rPr>
          <w:rFonts w:ascii="Times New Roman" w:hAnsi="Times New Roman" w:cs="Times New Roman"/>
          <w:sz w:val="28"/>
          <w:szCs w:val="28"/>
        </w:rPr>
        <w:t>ессию регулируемым организациям</w:t>
      </w: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6006"/>
        <w:gridCol w:w="2379"/>
        <w:gridCol w:w="2513"/>
        <w:gridCol w:w="2858"/>
      </w:tblGrid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№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Исполнители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proofErr w:type="gram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proofErr w:type="gramStart"/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в  </w:t>
            </w:r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Межрегиональное</w:t>
            </w:r>
            <w:proofErr w:type="gramEnd"/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в реестре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госсобственности  РТ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</w:t>
            </w:r>
            <w:proofErr w:type="gramStart"/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РТ </w:t>
            </w: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отсутствии </w:t>
            </w:r>
            <w:proofErr w:type="gramStart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записи  о</w:t>
            </w:r>
            <w:proofErr w:type="gramEnd"/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 регистрации права собственности  на объект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proofErr w:type="gram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  <w:r w:rsidRPr="00BC7560">
              <w:rPr>
                <w:rStyle w:val="213pt"/>
                <w:lang w:bidi="en-US"/>
              </w:rPr>
              <w:t xml:space="preserve"> </w:t>
            </w:r>
            <w:r w:rsidRPr="00BC7560">
              <w:rPr>
                <w:rStyle w:val="213pt"/>
              </w:rPr>
              <w:t xml:space="preserve">в разделе «Планирование концессии», а также на сайте сельского </w:t>
            </w:r>
            <w:proofErr w:type="gramStart"/>
            <w:r w:rsidRPr="00BC7560">
              <w:rPr>
                <w:rStyle w:val="213pt"/>
              </w:rPr>
              <w:t>поселения  муниципального</w:t>
            </w:r>
            <w:proofErr w:type="gramEnd"/>
            <w:r w:rsidRPr="00BC7560">
              <w:rPr>
                <w:rStyle w:val="213pt"/>
              </w:rPr>
              <w:t xml:space="preserve"> района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</w:t>
            </w:r>
            <w:r w:rsidRPr="00BC7560">
              <w:rPr>
                <w:rStyle w:val="213pt"/>
              </w:rPr>
              <w:lastRenderedPageBreak/>
              <w:t>служб района: земельно-</w:t>
            </w:r>
            <w:r w:rsidRPr="00BC7560">
              <w:rPr>
                <w:rStyle w:val="213pt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5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опубликования постановления с перечнем </w:t>
            </w:r>
            <w:r w:rsidRPr="00BC7560">
              <w:rPr>
                <w:rStyle w:val="213pt"/>
              </w:rPr>
              <w:lastRenderedPageBreak/>
              <w:t>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C7560">
              <w:rPr>
                <w:rStyle w:val="213pt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 xml:space="preserve">Разработка и составление Проекта концессионного соглашения  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bCs/>
                <w:shd w:val="clear" w:color="auto" w:fill="auto"/>
              </w:rPr>
            </w:pPr>
            <w:r w:rsidRPr="00BC7560">
              <w:rPr>
                <w:rStyle w:val="213pt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>обследования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Разработка и составление технической документации: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Сведения о составе и технико-экономическом описании объектов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 xml:space="preserve">Основные мероприятия по реконструкции и модернизации объектов на весь период </w:t>
            </w:r>
            <w:r w:rsidRPr="00BC7560">
              <w:rPr>
                <w:rStyle w:val="213pt"/>
              </w:rPr>
              <w:lastRenderedPageBreak/>
              <w:t>действия КС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Специализированная организация на основе данных производственной программы по тарифам предприятия, </w:t>
            </w:r>
            <w:r w:rsidRPr="00BC7560">
              <w:rPr>
                <w:rStyle w:val="213pt"/>
              </w:rPr>
              <w:lastRenderedPageBreak/>
              <w:t>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предложения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предприятия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Официальный сайт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</w:t>
            </w:r>
            <w:r w:rsidRPr="00BC7560">
              <w:rPr>
                <w:rStyle w:val="213pt"/>
              </w:rPr>
              <w:lastRenderedPageBreak/>
              <w:t>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 xml:space="preserve">В течение 30 дней после окончания срока размещения на официальном </w:t>
            </w:r>
            <w:r w:rsidRPr="00BC7560">
              <w:rPr>
                <w:rStyle w:val="213pt"/>
              </w:rPr>
              <w:lastRenderedPageBreak/>
              <w:t xml:space="preserve">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Уполномоченный орган (Палата имущественных и земельных отношений </w:t>
            </w:r>
            <w:r w:rsidRPr="00BC7560">
              <w:rPr>
                <w:rStyle w:val="213pt"/>
              </w:rPr>
              <w:lastRenderedPageBreak/>
              <w:t>района)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465D5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>
              <w:rPr>
                <w:rStyle w:val="213pt"/>
              </w:rPr>
              <w:t>У</w:t>
            </w:r>
            <w:r w:rsidR="00662DE6" w:rsidRPr="00BC7560">
              <w:rPr>
                <w:rStyle w:val="213pt"/>
              </w:rPr>
              <w:t>полномоченный орган (</w:t>
            </w:r>
            <w:proofErr w:type="spellStart"/>
            <w:r w:rsidR="00662DE6" w:rsidRPr="00BC7560">
              <w:rPr>
                <w:rStyle w:val="213pt"/>
              </w:rPr>
              <w:t>Земельно</w:t>
            </w:r>
            <w:r w:rsidR="00662DE6" w:rsidRPr="00BC7560">
              <w:rPr>
                <w:rStyle w:val="213pt"/>
              </w:rPr>
              <w:softHyphen/>
              <w:t>имущественная</w:t>
            </w:r>
            <w:proofErr w:type="spellEnd"/>
            <w:r w:rsidR="00662DE6" w:rsidRPr="00BC7560">
              <w:rPr>
                <w:rStyle w:val="213pt"/>
              </w:rPr>
              <w:t xml:space="preserve"> палата)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Концессионер (Предприятие, выступившее с инициативой)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Согласование КС в </w:t>
            </w:r>
            <w:proofErr w:type="spellStart"/>
            <w:r w:rsidRPr="00BC7560">
              <w:rPr>
                <w:rStyle w:val="213pt"/>
              </w:rPr>
              <w:t>МСАиЖКХ</w:t>
            </w:r>
            <w:proofErr w:type="spellEnd"/>
            <w:r w:rsidRPr="00BC7560">
              <w:rPr>
                <w:rStyle w:val="213pt"/>
              </w:rPr>
              <w:t xml:space="preserve"> и межведомственной комиссией (Минэкономики, Минфина, </w:t>
            </w:r>
            <w:proofErr w:type="spellStart"/>
            <w:r w:rsidRPr="00BC7560">
              <w:rPr>
                <w:rStyle w:val="213pt"/>
              </w:rPr>
              <w:t>Минзема</w:t>
            </w:r>
            <w:proofErr w:type="spellEnd"/>
            <w:r w:rsidRPr="00BC7560">
              <w:rPr>
                <w:rStyle w:val="213pt"/>
              </w:rPr>
              <w:t xml:space="preserve"> и Аген</w:t>
            </w:r>
            <w:r w:rsidR="00465D56">
              <w:rPr>
                <w:rStyle w:val="213pt"/>
              </w:rPr>
              <w:t>т</w:t>
            </w:r>
            <w:r w:rsidRPr="00BC7560">
              <w:rPr>
                <w:rStyle w:val="213pt"/>
              </w:rPr>
              <w:t>ства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Согласно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регламента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межведомственной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комиссии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Отдел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C7560">
              <w:rPr>
                <w:rStyle w:val="213pt"/>
              </w:rPr>
              <w:t>госрегистрации</w:t>
            </w:r>
            <w:proofErr w:type="spellEnd"/>
            <w:r w:rsidRPr="00BC7560">
              <w:rPr>
                <w:rStyle w:val="213pt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совместно с Концессионером</w:t>
            </w:r>
          </w:p>
        </w:tc>
      </w:tr>
    </w:tbl>
    <w:p w:rsidR="00662DE6" w:rsidRPr="00631E63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6" w:rsidRP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2DE6" w:rsidRPr="00662DE6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4431B"/>
    <w:rsid w:val="00122946"/>
    <w:rsid w:val="001421A5"/>
    <w:rsid w:val="001A7E3E"/>
    <w:rsid w:val="001D63E4"/>
    <w:rsid w:val="002400C7"/>
    <w:rsid w:val="002D51F5"/>
    <w:rsid w:val="003657C1"/>
    <w:rsid w:val="004044D2"/>
    <w:rsid w:val="00465D56"/>
    <w:rsid w:val="00527D50"/>
    <w:rsid w:val="005E4A82"/>
    <w:rsid w:val="00662DE6"/>
    <w:rsid w:val="00961361"/>
    <w:rsid w:val="00B262C5"/>
    <w:rsid w:val="00BC7560"/>
    <w:rsid w:val="00E4235A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5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4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Учетная запись Майкрософт</cp:lastModifiedBy>
  <cp:revision>2</cp:revision>
  <cp:lastPrinted>2022-09-06T08:26:00Z</cp:lastPrinted>
  <dcterms:created xsi:type="dcterms:W3CDTF">2022-09-06T10:34:00Z</dcterms:created>
  <dcterms:modified xsi:type="dcterms:W3CDTF">2022-09-06T10:34:00Z</dcterms:modified>
</cp:coreProperties>
</file>