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EB38E8" w:rsidP="001973C2">
      <w:r w:rsidRPr="00EB38E8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EB38E8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EB38E8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rStyle w:val="a6"/>
        </w:rPr>
      </w:pPr>
    </w:p>
    <w:p w:rsidR="003A04A4" w:rsidRDefault="003A04A4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>
        <w:rPr>
          <w:rStyle w:val="a6"/>
          <w:sz w:val="16"/>
          <w:szCs w:val="16"/>
        </w:rPr>
        <w:t>ИНН 1603004871  КПП 160301001 ОГРН 1061665002519  БИК 019205400  Р/С 03231643926044151100 ОТДЕЛЕНИЕ - НБ РЕСПУБЛИКА ТАТАРСТАН  БАНКА РОССИИ // УФК ПО  РЕСПУБЛИКЕ ТАТАРСТАН г.КАЗАНЬ</w:t>
      </w:r>
    </w:p>
    <w:p w:rsidR="000B68AD" w:rsidRDefault="000B68AD" w:rsidP="000B68AD">
      <w:pPr>
        <w:rPr>
          <w:rStyle w:val="a6"/>
          <w:sz w:val="16"/>
          <w:szCs w:val="16"/>
        </w:rPr>
      </w:pPr>
    </w:p>
    <w:p w:rsidR="00895B1F" w:rsidRDefault="001A50C9" w:rsidP="001A50C9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 от </w:t>
      </w:r>
      <w:r w:rsidR="001A50C9">
        <w:rPr>
          <w:rFonts w:ascii="Arial" w:hAnsi="Arial" w:cs="Arial"/>
        </w:rPr>
        <w:t xml:space="preserve">              </w:t>
      </w:r>
      <w:r w:rsidR="00384BC0" w:rsidRPr="00384BC0">
        <w:rPr>
          <w:rFonts w:ascii="Arial" w:hAnsi="Arial" w:cs="Arial"/>
        </w:rPr>
        <w:t xml:space="preserve">года.  </w:t>
      </w:r>
    </w:p>
    <w:p w:rsidR="00384BC0" w:rsidRPr="00384BC0" w:rsidRDefault="00384BC0" w:rsidP="00384BC0">
      <w:pPr>
        <w:rPr>
          <w:rFonts w:ascii="Arial" w:hAnsi="Arial" w:cs="Arial"/>
        </w:rPr>
      </w:pPr>
    </w:p>
    <w:p w:rsidR="00765767" w:rsidRDefault="00765767" w:rsidP="00765767">
      <w:pPr>
        <w:pStyle w:val="af2"/>
        <w:ind w:right="282"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организации и условиях оплаты труда главного</w:t>
      </w:r>
      <w:r w:rsidR="00ED7CC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бухгалтера </w:t>
      </w:r>
      <w:r>
        <w:rPr>
          <w:rFonts w:ascii="Arial" w:hAnsi="Arial" w:cs="Arial"/>
          <w:b/>
        </w:rPr>
        <w:t>Исполнительного комитета Кривоозерского сельского поселения Аксубаевского муниципального района Республики Татарстан</w:t>
      </w:r>
    </w:p>
    <w:p w:rsidR="00765767" w:rsidRDefault="00765767" w:rsidP="00765767">
      <w:pPr>
        <w:pStyle w:val="af2"/>
        <w:jc w:val="both"/>
        <w:rPr>
          <w:rFonts w:ascii="Arial" w:hAnsi="Arial" w:cs="Arial"/>
          <w:b/>
        </w:rPr>
      </w:pPr>
    </w:p>
    <w:p w:rsidR="00765767" w:rsidRDefault="00765767" w:rsidP="00765767">
      <w:pPr>
        <w:pStyle w:val="af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Согласно письма Министерства финансов Республики Татарстан от 18.04.2019№ 03-16/2920, в связи с введением с 01.04.2019 года новой системы оплаты труда главных бухгалтеров и бухгалтеров исполнительных комитетов сельских поселений в Аксубаевском муниципальном районе Республики Татарстан Исполнительный комитет </w:t>
      </w:r>
      <w:r>
        <w:rPr>
          <w:rFonts w:ascii="Arial" w:hAnsi="Arial" w:cs="Arial"/>
          <w:bCs/>
        </w:rPr>
        <w:t>Кривоозерского</w:t>
      </w:r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hAnsi="Arial" w:cs="Arial"/>
          <w:b/>
        </w:rPr>
        <w:t>ПОСТАНОВЛЯЕТ:</w:t>
      </w:r>
    </w:p>
    <w:p w:rsidR="00765767" w:rsidRDefault="00765767" w:rsidP="00765767">
      <w:pPr>
        <w:pStyle w:val="af2"/>
        <w:numPr>
          <w:ilvl w:val="0"/>
          <w:numId w:val="38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Положение об организации и условиях оплаты труда главного бухгалтера Исполнительного комитета Кривоозерского сельского поселения Аксубаевского муниципального района Республики Татарстан.</w:t>
      </w:r>
    </w:p>
    <w:p w:rsidR="00765767" w:rsidRDefault="00765767" w:rsidP="00765767">
      <w:pPr>
        <w:pStyle w:val="af2"/>
        <w:numPr>
          <w:ilvl w:val="0"/>
          <w:numId w:val="38"/>
        </w:numPr>
        <w:spacing w:before="0" w:beforeAutospacing="0" w:after="0" w:afterAutospacing="0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Обнародовать настоящее решение путем размещения его на официальных стендах сельского поселения, на официальном сайте Аксубаевского муниципального района </w:t>
      </w:r>
      <w:hyperlink r:id="rId10" w:history="1">
        <w:r>
          <w:rPr>
            <w:rStyle w:val="a6"/>
            <w:rFonts w:ascii="Arial" w:hAnsi="Arial" w:cs="Arial"/>
          </w:rPr>
          <w:t>http://</w:t>
        </w:r>
        <w:r>
          <w:rPr>
            <w:rStyle w:val="a6"/>
            <w:rFonts w:ascii="Arial" w:hAnsi="Arial" w:cs="Arial"/>
            <w:lang w:val="en-US"/>
          </w:rPr>
          <w:t>aksubaevo</w:t>
        </w:r>
        <w:r>
          <w:rPr>
            <w:rStyle w:val="a6"/>
            <w:rFonts w:ascii="Arial" w:hAnsi="Arial" w:cs="Arial"/>
          </w:rPr>
          <w:t>.tatarstan.ru/</w:t>
        </w:r>
      </w:hyperlink>
      <w:r>
        <w:rPr>
          <w:rFonts w:ascii="Arial" w:hAnsi="Arial" w:cs="Arial"/>
        </w:rPr>
        <w:t xml:space="preserve"> в разделе сельские поселения и на официальном портале правовой информации Республики Татарстан http://pravo.tatarstan.ru/.</w:t>
      </w:r>
    </w:p>
    <w:p w:rsidR="00DA6A47" w:rsidRPr="00DA6A47" w:rsidRDefault="00DA6A47" w:rsidP="0076576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A6A47">
        <w:rPr>
          <w:rFonts w:ascii="Arial" w:hAnsi="Arial" w:cs="Arial"/>
        </w:rPr>
        <w:t>3.Контроль за исполнением настоящего постановления оставляю за  собой.</w:t>
      </w:r>
    </w:p>
    <w:p w:rsidR="00DA6A47" w:rsidRPr="00DA6A47" w:rsidRDefault="00DA6A47" w:rsidP="00DA6A47">
      <w:pPr>
        <w:autoSpaceDE w:val="0"/>
        <w:autoSpaceDN w:val="0"/>
        <w:adjustRightInd w:val="0"/>
        <w:rPr>
          <w:rFonts w:ascii="Arial" w:hAnsi="Arial" w:cs="Arial"/>
        </w:rPr>
      </w:pPr>
    </w:p>
    <w:p w:rsidR="00384BC0" w:rsidRPr="00384BC0" w:rsidRDefault="00384BC0" w:rsidP="00384BC0">
      <w:pPr>
        <w:autoSpaceDE w:val="0"/>
        <w:autoSpaceDN w:val="0"/>
        <w:adjustRightInd w:val="0"/>
        <w:rPr>
          <w:rFonts w:ascii="Arial" w:hAnsi="Arial" w:cs="Arial"/>
        </w:rPr>
      </w:pPr>
    </w:p>
    <w:p w:rsidR="000B68AD" w:rsidRDefault="000B68AD" w:rsidP="000B68AD">
      <w:pPr>
        <w:tabs>
          <w:tab w:val="left" w:pos="709"/>
        </w:tabs>
        <w:jc w:val="both"/>
        <w:rPr>
          <w:rFonts w:ascii="Arial" w:hAnsi="Arial" w:cs="Arial"/>
        </w:rPr>
      </w:pPr>
    </w:p>
    <w:p w:rsidR="000B68AD" w:rsidRDefault="000B68AD" w:rsidP="000B68AD">
      <w:pPr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0B68AD" w:rsidRDefault="00E01D04" w:rsidP="000B68AD">
      <w:pPr>
        <w:rPr>
          <w:rFonts w:ascii="Arial" w:hAnsi="Arial" w:cs="Arial"/>
          <w:b/>
        </w:rPr>
      </w:pPr>
      <w:r>
        <w:rPr>
          <w:rFonts w:ascii="Arial" w:hAnsi="Arial" w:cs="Arial"/>
        </w:rPr>
        <w:t>Кривоозерского</w:t>
      </w:r>
      <w:r w:rsidR="000B68AD">
        <w:rPr>
          <w:rFonts w:ascii="Arial" w:hAnsi="Arial" w:cs="Arial"/>
        </w:rPr>
        <w:t xml:space="preserve"> сельского поселения:                             С.</w:t>
      </w:r>
      <w:r>
        <w:rPr>
          <w:rFonts w:ascii="Arial" w:hAnsi="Arial" w:cs="Arial"/>
        </w:rPr>
        <w:t>С</w:t>
      </w:r>
      <w:r w:rsidR="000B68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Елисеев</w:t>
      </w:r>
    </w:p>
    <w:p w:rsidR="000B68AD" w:rsidRDefault="000B68AD" w:rsidP="000B68A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DA6A47" w:rsidRDefault="00DA6A47" w:rsidP="000B68AD">
      <w:pPr>
        <w:jc w:val="both"/>
      </w:pPr>
    </w:p>
    <w:p w:rsidR="00DA6A47" w:rsidRDefault="00DA6A47" w:rsidP="000B68AD">
      <w:pPr>
        <w:jc w:val="both"/>
      </w:pPr>
    </w:p>
    <w:p w:rsidR="00DA6A47" w:rsidRDefault="00DA6A47" w:rsidP="000B68AD">
      <w:pPr>
        <w:jc w:val="both"/>
      </w:pPr>
    </w:p>
    <w:p w:rsidR="00DA6A47" w:rsidRDefault="00DA6A47" w:rsidP="000B68AD">
      <w:pPr>
        <w:jc w:val="both"/>
      </w:pPr>
    </w:p>
    <w:p w:rsidR="00DA6A47" w:rsidRDefault="00DA6A47" w:rsidP="000B68AD">
      <w:pPr>
        <w:jc w:val="both"/>
      </w:pPr>
    </w:p>
    <w:p w:rsidR="00DA6A47" w:rsidRDefault="00DA6A47" w:rsidP="000B68AD">
      <w:pPr>
        <w:jc w:val="both"/>
      </w:pP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 №1 к постановлению </w:t>
      </w: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Исполнительного комитета </w:t>
      </w:r>
      <w:r w:rsidR="00E01D04">
        <w:rPr>
          <w:rFonts w:ascii="Arial" w:hAnsi="Arial" w:cs="Arial"/>
        </w:rPr>
        <w:t xml:space="preserve">Кривоозерского </w:t>
      </w:r>
      <w:r>
        <w:rPr>
          <w:rFonts w:ascii="Arial" w:hAnsi="Arial" w:cs="Arial"/>
        </w:rPr>
        <w:t>сельского поселения Аксубаевского  муниципального района Республики Татарстан</w:t>
      </w: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от «</w:t>
      </w:r>
      <w:r w:rsidR="001A50C9">
        <w:rPr>
          <w:rFonts w:ascii="Arial" w:hAnsi="Arial" w:cs="Arial"/>
        </w:rPr>
        <w:t xml:space="preserve"> «           г </w:t>
      </w:r>
      <w:r w:rsidR="007657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№ </w:t>
      </w:r>
    </w:p>
    <w:p w:rsidR="000B68AD" w:rsidRDefault="000B68AD" w:rsidP="000B68AD">
      <w:pPr>
        <w:jc w:val="both"/>
        <w:rPr>
          <w:rFonts w:ascii="Arial" w:hAnsi="Arial" w:cs="Arial"/>
        </w:rPr>
      </w:pPr>
    </w:p>
    <w:p w:rsidR="000B68AD" w:rsidRDefault="000B68AD" w:rsidP="000B68AD">
      <w:pPr>
        <w:jc w:val="center"/>
        <w:rPr>
          <w:rFonts w:ascii="Arial" w:hAnsi="Arial" w:cs="Arial"/>
          <w:b/>
        </w:rPr>
      </w:pPr>
    </w:p>
    <w:p w:rsidR="00765767" w:rsidRDefault="00765767" w:rsidP="00765767">
      <w:pPr>
        <w:pStyle w:val="af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Положение об организации и условиях оплаты труда главного бухгалтера </w:t>
      </w:r>
      <w:r>
        <w:rPr>
          <w:rFonts w:ascii="Arial" w:hAnsi="Arial" w:cs="Arial"/>
          <w:b/>
        </w:rPr>
        <w:t xml:space="preserve">Исполнительного комитета </w:t>
      </w:r>
      <w:r>
        <w:rPr>
          <w:rFonts w:ascii="Arial" w:hAnsi="Arial" w:cs="Arial"/>
          <w:b/>
          <w:color w:val="1E1E1E"/>
        </w:rPr>
        <w:t>Кривоозерского</w:t>
      </w:r>
      <w:r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765767" w:rsidRDefault="00765767" w:rsidP="00765767">
      <w:pPr>
        <w:pStyle w:val="a4"/>
        <w:spacing w:before="5"/>
        <w:rPr>
          <w:rFonts w:ascii="Arial" w:hAnsi="Arial" w:cs="Arial"/>
          <w:b/>
          <w:sz w:val="24"/>
          <w:szCs w:val="24"/>
        </w:rPr>
      </w:pPr>
    </w:p>
    <w:p w:rsidR="00765767" w:rsidRDefault="00765767" w:rsidP="00765767">
      <w:pPr>
        <w:pStyle w:val="a9"/>
        <w:widowControl w:val="0"/>
        <w:numPr>
          <w:ilvl w:val="1"/>
          <w:numId w:val="38"/>
        </w:numPr>
        <w:tabs>
          <w:tab w:val="left" w:pos="1250"/>
        </w:tabs>
        <w:autoSpaceDE w:val="0"/>
        <w:autoSpaceDN w:val="0"/>
        <w:spacing w:before="1" w:after="0" w:line="240" w:lineRule="auto"/>
        <w:ind w:right="100" w:firstLine="70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Положение об организации и условиях оплаты труда главного бухгалтера Исполнительного комитета Кривоозерского сельского поселения (за исключением должностей, отнесенных к должностям муниципальных служащих) (далее–</w:t>
      </w:r>
      <w:r>
        <w:rPr>
          <w:rFonts w:ascii="Arial" w:hAnsi="Arial" w:cs="Arial"/>
          <w:spacing w:val="1"/>
          <w:sz w:val="24"/>
          <w:szCs w:val="24"/>
        </w:rPr>
        <w:t>Главный б</w:t>
      </w:r>
      <w:r>
        <w:rPr>
          <w:rFonts w:ascii="Arial" w:hAnsi="Arial" w:cs="Arial"/>
          <w:sz w:val="24"/>
          <w:szCs w:val="24"/>
        </w:rPr>
        <w:t>ухгалтер) Аксубаевского муниципального района регламентирует отдельные вопросы организации деятельности бухгалтеров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765767" w:rsidRDefault="00765767" w:rsidP="00765767">
      <w:pPr>
        <w:pStyle w:val="a9"/>
        <w:widowControl w:val="0"/>
        <w:numPr>
          <w:ilvl w:val="1"/>
          <w:numId w:val="38"/>
        </w:numPr>
        <w:tabs>
          <w:tab w:val="left" w:pos="1427"/>
        </w:tabs>
        <w:autoSpaceDE w:val="0"/>
        <w:autoSpaceDN w:val="0"/>
        <w:spacing w:after="0" w:line="240" w:lineRule="auto"/>
        <w:ind w:right="104" w:firstLine="70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Заработная плата </w:t>
      </w:r>
      <w:r>
        <w:rPr>
          <w:rFonts w:ascii="Arial" w:hAnsi="Arial" w:cs="Arial"/>
          <w:spacing w:val="1"/>
          <w:sz w:val="24"/>
          <w:szCs w:val="24"/>
        </w:rPr>
        <w:t xml:space="preserve">Главного </w:t>
      </w:r>
      <w:r>
        <w:rPr>
          <w:rFonts w:ascii="Arial" w:hAnsi="Arial" w:cs="Arial"/>
          <w:sz w:val="24"/>
          <w:szCs w:val="24"/>
        </w:rPr>
        <w:t>бухгалтера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</w:p>
    <w:p w:rsidR="00765767" w:rsidRDefault="00765767" w:rsidP="00765767">
      <w:pPr>
        <w:pStyle w:val="a9"/>
        <w:widowControl w:val="0"/>
        <w:numPr>
          <w:ilvl w:val="1"/>
          <w:numId w:val="38"/>
        </w:numPr>
        <w:tabs>
          <w:tab w:val="left" w:pos="1202"/>
        </w:tabs>
        <w:autoSpaceDE w:val="0"/>
        <w:autoSpaceDN w:val="0"/>
        <w:spacing w:after="0" w:line="240" w:lineRule="auto"/>
        <w:ind w:left="1201" w:hanging="28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Должностной оклад главного бухгалтера устанавливается в размере 19300 рублей</w:t>
      </w:r>
    </w:p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Главному бухгалтеру устанавливаются:</w:t>
      </w:r>
    </w:p>
    <w:p w:rsidR="00765767" w:rsidRDefault="00836B63" w:rsidP="00836B63">
      <w:pPr>
        <w:pStyle w:val="a4"/>
        <w:spacing w:line="322" w:lineRule="exact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65767">
        <w:rPr>
          <w:rFonts w:ascii="Arial" w:hAnsi="Arial" w:cs="Arial"/>
          <w:sz w:val="24"/>
          <w:szCs w:val="24"/>
        </w:rPr>
        <w:t xml:space="preserve">1) ежемесячная надбавка к должностному окладу за выслугу лет в следующих </w:t>
      </w:r>
      <w:r>
        <w:rPr>
          <w:rFonts w:ascii="Arial" w:hAnsi="Arial" w:cs="Arial"/>
          <w:sz w:val="24"/>
          <w:szCs w:val="24"/>
        </w:rPr>
        <w:t xml:space="preserve">     </w:t>
      </w:r>
      <w:r w:rsidR="00765767">
        <w:rPr>
          <w:rFonts w:ascii="Arial" w:hAnsi="Arial" w:cs="Arial"/>
          <w:sz w:val="24"/>
          <w:szCs w:val="24"/>
        </w:rPr>
        <w:t>размерах:</w:t>
      </w:r>
    </w:p>
    <w:p w:rsidR="00765767" w:rsidRDefault="00765767" w:rsidP="00765767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1"/>
        <w:gridCol w:w="5103"/>
      </w:tblGrid>
      <w:tr w:rsidR="00765767" w:rsidTr="0076576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7" w:rsidRDefault="00765767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стаже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7" w:rsidRDefault="00765767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Ежемесячная надбавка, процентов</w:t>
            </w:r>
          </w:p>
        </w:tc>
      </w:tr>
      <w:tr w:rsidR="00765767" w:rsidTr="0076576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7" w:rsidRDefault="00765767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 до 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7" w:rsidRDefault="00765767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65767" w:rsidTr="0076576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7" w:rsidRDefault="00765767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5 до 10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7" w:rsidRDefault="00765767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65767" w:rsidTr="0076576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7" w:rsidRDefault="00765767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10 до 15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7" w:rsidRDefault="00765767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65767" w:rsidTr="0076576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7" w:rsidRDefault="00765767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Свыше 15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7" w:rsidRDefault="00765767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765767" w:rsidRDefault="00765767" w:rsidP="00836B63">
      <w:pPr>
        <w:pStyle w:val="a4"/>
        <w:spacing w:line="322" w:lineRule="exact"/>
        <w:ind w:left="14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765767" w:rsidRDefault="00765767" w:rsidP="00836B63">
      <w:pPr>
        <w:pStyle w:val="a4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765767" w:rsidRDefault="00765767" w:rsidP="00836B63">
      <w:pPr>
        <w:pStyle w:val="a4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если главному бухгалтеру в течение календарного года ежегодный оплачиваемый отпуск не предоставлялся, единовременная выплата начисляется и </w:t>
      </w:r>
      <w:r>
        <w:rPr>
          <w:rFonts w:ascii="Arial" w:hAnsi="Arial" w:cs="Arial"/>
          <w:sz w:val="24"/>
          <w:szCs w:val="24"/>
        </w:rPr>
        <w:lastRenderedPageBreak/>
        <w:t>выплачивается ему в декабре пропорционально отработанному времени, в случае увольнения - не позднее последнего дня работы.</w:t>
      </w:r>
    </w:p>
    <w:p w:rsidR="00765767" w:rsidRDefault="00765767" w:rsidP="00836B63">
      <w:pPr>
        <w:pStyle w:val="a4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765767" w:rsidRDefault="00765767" w:rsidP="00836B63">
      <w:pPr>
        <w:pStyle w:val="a4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денежное поощрение, материальная помощь в пределах установленного фонда оплаты труда;</w:t>
      </w:r>
    </w:p>
    <w:p w:rsidR="00765767" w:rsidRDefault="00765767" w:rsidP="00836B63">
      <w:pPr>
        <w:pStyle w:val="a4"/>
        <w:spacing w:line="322" w:lineRule="exact"/>
        <w:ind w:firstLine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премия при наличии соответствующего нормативно-правого акта с указанием источника выплаты.</w:t>
      </w:r>
    </w:p>
    <w:p w:rsidR="00765767" w:rsidRDefault="00765767" w:rsidP="00836B63">
      <w:pPr>
        <w:pStyle w:val="a4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Годовой фонд заработной платы главного бухгалтера рассчитывается по формуле:</w:t>
      </w:r>
    </w:p>
    <w:p w:rsidR="00765767" w:rsidRDefault="00765767" w:rsidP="00836B63">
      <w:pPr>
        <w:pStyle w:val="a4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</w:p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OT</m:t>
          </m:r>
          <m:r>
            <w:rPr>
              <w:rFonts w:ascii="Cambria Math" w:hAnsi="Arial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Arial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0,3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Arial"/>
              <w:sz w:val="24"/>
              <w:szCs w:val="24"/>
            </w:rPr>
            <m:t>*k</m:t>
          </m:r>
          <m:r>
            <w:rPr>
              <w:rFonts w:ascii="Cambria Math" w:hAnsi="Arial" w:cs="Arial"/>
              <w:sz w:val="24"/>
              <w:szCs w:val="24"/>
            </w:rPr>
            <m:t>)</m:t>
          </m:r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Arial" w:cs="Arial"/>
                  <w:sz w:val="24"/>
                  <w:szCs w:val="24"/>
                </w:rPr>
                <m:t>Р</m:t>
              </m:r>
            </m:e>
          </m:nary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);</m:t>
          </m:r>
        </m:oMath>
      </m:oMathPara>
    </w:p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</w:p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где:</w:t>
      </w:r>
    </w:p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FOT</m:t>
        </m:r>
      </m:oMath>
      <w:r>
        <w:rPr>
          <w:rFonts w:ascii="Arial" w:hAnsi="Arial" w:cs="Arial"/>
          <w:sz w:val="24"/>
          <w:szCs w:val="24"/>
        </w:rPr>
        <w:t xml:space="preserve"> – годовой фонд заработной платы главного бухгалтера;</w:t>
      </w:r>
    </w:p>
    <w:p w:rsidR="00765767" w:rsidRDefault="00EB38E8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765767">
        <w:rPr>
          <w:rFonts w:ascii="Arial" w:hAnsi="Arial" w:cs="Arial"/>
          <w:sz w:val="24"/>
          <w:szCs w:val="24"/>
        </w:rPr>
        <w:t xml:space="preserve"> - сумма средств на выплату должностных окладов главному бухгалтеру в месяц;</w:t>
      </w:r>
    </w:p>
    <w:p w:rsidR="00765767" w:rsidRDefault="00EB38E8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Arial" w:cs="Arial"/>
                <w:sz w:val="24"/>
                <w:szCs w:val="24"/>
              </w:rPr>
              <m:t>0,3</m:t>
            </m:r>
            <m:r>
              <w:rPr>
                <w:rFonts w:ascii="Cambria Math" w:hAnsi="Cambria Math" w:cs="Arial"/>
                <w:sz w:val="24"/>
                <w:szCs w:val="24"/>
              </w:rPr>
              <m:t>*O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765767">
        <w:rPr>
          <w:rFonts w:ascii="Arial" w:hAnsi="Arial" w:cs="Arial"/>
          <w:sz w:val="24"/>
          <w:szCs w:val="24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 – годовой премиальный фонд главного бухгалтера (</w:t>
      </w:r>
      <w:r>
        <w:rPr>
          <w:rFonts w:ascii="Arial" w:hAnsi="Arial" w:cs="Arial"/>
          <w:i/>
          <w:sz w:val="24"/>
          <w:szCs w:val="24"/>
        </w:rPr>
        <w:t>определяемый исходя из условий, установленных подпунктом 5 пункта 4 настоящего Положения</w:t>
      </w:r>
      <w:r>
        <w:rPr>
          <w:rFonts w:ascii="Arial" w:hAnsi="Arial" w:cs="Arial"/>
          <w:sz w:val="24"/>
          <w:szCs w:val="24"/>
        </w:rPr>
        <w:t>);</w:t>
      </w:r>
    </w:p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>
        <w:rPr>
          <w:rFonts w:ascii="Arial" w:hAnsi="Arial" w:cs="Arial"/>
          <w:sz w:val="24"/>
          <w:szCs w:val="24"/>
        </w:rPr>
        <w:t>– штатная численность бухгалтеров;</w:t>
      </w:r>
    </w:p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k</m:t>
        </m:r>
      </m:oMath>
      <w:r>
        <w:rPr>
          <w:rFonts w:ascii="Arial" w:hAnsi="Arial" w:cs="Arial"/>
          <w:sz w:val="24"/>
          <w:szCs w:val="24"/>
        </w:rPr>
        <w:t xml:space="preserve"> – 12 месяцев;</w:t>
      </w:r>
    </w:p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t</m:t>
        </m:r>
      </m:oMath>
      <w:r>
        <w:rPr>
          <w:rFonts w:ascii="Arial" w:hAnsi="Arial" w:cs="Arial"/>
          <w:sz w:val="24"/>
          <w:szCs w:val="24"/>
        </w:rPr>
        <w:t xml:space="preserve"> – начисления на выплаты по оплате труда.</w:t>
      </w:r>
    </w:p>
    <w:p w:rsidR="00765767" w:rsidRDefault="00765767" w:rsidP="00765767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765767" w:rsidRDefault="00765767" w:rsidP="00765767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</w:rPr>
      </w:pPr>
    </w:p>
    <w:p w:rsidR="00AC4840" w:rsidRPr="0064007E" w:rsidRDefault="00AC4840" w:rsidP="00765767">
      <w:pPr>
        <w:ind w:firstLine="200"/>
        <w:rPr>
          <w:b/>
        </w:rPr>
      </w:pPr>
    </w:p>
    <w:sectPr w:rsidR="00AC4840" w:rsidRPr="0064007E" w:rsidSect="00C21BD5">
      <w:headerReference w:type="even" r:id="rId11"/>
      <w:headerReference w:type="default" r:id="rId12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BB5" w:rsidRDefault="00B42BB5" w:rsidP="006D50EF">
      <w:r>
        <w:separator/>
      </w:r>
    </w:p>
  </w:endnote>
  <w:endnote w:type="continuationSeparator" w:id="1">
    <w:p w:rsidR="00B42BB5" w:rsidRDefault="00B42BB5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BB5" w:rsidRDefault="00B42BB5" w:rsidP="006D50EF">
      <w:r>
        <w:separator/>
      </w:r>
    </w:p>
  </w:footnote>
  <w:footnote w:type="continuationSeparator" w:id="1">
    <w:p w:rsidR="00B42BB5" w:rsidRDefault="00B42BB5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EB38E8">
    <w:pPr>
      <w:rPr>
        <w:sz w:val="2"/>
        <w:szCs w:val="2"/>
      </w:rPr>
    </w:pPr>
    <w:r w:rsidRPr="00EB38E8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EB38E8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EB38E8">
    <w:pPr>
      <w:rPr>
        <w:sz w:val="2"/>
        <w:szCs w:val="2"/>
      </w:rPr>
    </w:pPr>
    <w:r w:rsidRPr="00EB38E8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lang w:val="ru-RU" w:eastAsia="en-US" w:bidi="ar-SA"/>
      </w:rPr>
    </w:lvl>
  </w:abstractNum>
  <w:abstractNum w:abstractNumId="24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7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4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7"/>
  </w:num>
  <w:num w:numId="12">
    <w:abstractNumId w:val="20"/>
  </w:num>
  <w:num w:numId="13">
    <w:abstractNumId w:val="32"/>
  </w:num>
  <w:num w:numId="14">
    <w:abstractNumId w:val="28"/>
  </w:num>
  <w:num w:numId="15">
    <w:abstractNumId w:val="21"/>
  </w:num>
  <w:num w:numId="16">
    <w:abstractNumId w:val="12"/>
  </w:num>
  <w:num w:numId="17">
    <w:abstractNumId w:val="31"/>
  </w:num>
  <w:num w:numId="18">
    <w:abstractNumId w:val="16"/>
  </w:num>
  <w:num w:numId="19">
    <w:abstractNumId w:val="27"/>
  </w:num>
  <w:num w:numId="20">
    <w:abstractNumId w:val="24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2"/>
  </w:num>
  <w:num w:numId="26">
    <w:abstractNumId w:val="5"/>
  </w:num>
  <w:num w:numId="27">
    <w:abstractNumId w:val="25"/>
  </w:num>
  <w:num w:numId="28">
    <w:abstractNumId w:val="33"/>
  </w:num>
  <w:num w:numId="29">
    <w:abstractNumId w:val="30"/>
  </w:num>
  <w:num w:numId="30">
    <w:abstractNumId w:val="18"/>
  </w:num>
  <w:num w:numId="31">
    <w:abstractNumId w:val="36"/>
  </w:num>
  <w:num w:numId="32">
    <w:abstractNumId w:val="13"/>
  </w:num>
  <w:num w:numId="33">
    <w:abstractNumId w:val="29"/>
  </w:num>
  <w:num w:numId="34">
    <w:abstractNumId w:val="35"/>
  </w:num>
  <w:num w:numId="35">
    <w:abstractNumId w:val="26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83E58"/>
    <w:rsid w:val="000A6FEE"/>
    <w:rsid w:val="000B1BD4"/>
    <w:rsid w:val="000B5690"/>
    <w:rsid w:val="000B5FA0"/>
    <w:rsid w:val="000B68AD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0C9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D0643"/>
    <w:rsid w:val="002E501D"/>
    <w:rsid w:val="002F3957"/>
    <w:rsid w:val="00302B3F"/>
    <w:rsid w:val="00312519"/>
    <w:rsid w:val="00334D8D"/>
    <w:rsid w:val="003549D1"/>
    <w:rsid w:val="00361823"/>
    <w:rsid w:val="00362866"/>
    <w:rsid w:val="003705C1"/>
    <w:rsid w:val="00384BC0"/>
    <w:rsid w:val="0038531F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6361"/>
    <w:rsid w:val="004473D7"/>
    <w:rsid w:val="004616CC"/>
    <w:rsid w:val="00464DDE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E6509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77266"/>
    <w:rsid w:val="006A7390"/>
    <w:rsid w:val="006C2EF6"/>
    <w:rsid w:val="006D2E94"/>
    <w:rsid w:val="006D50EF"/>
    <w:rsid w:val="006E22F7"/>
    <w:rsid w:val="006E6A2C"/>
    <w:rsid w:val="007019E7"/>
    <w:rsid w:val="007063F6"/>
    <w:rsid w:val="007074A1"/>
    <w:rsid w:val="00720177"/>
    <w:rsid w:val="007269EB"/>
    <w:rsid w:val="007308ED"/>
    <w:rsid w:val="00750672"/>
    <w:rsid w:val="00765767"/>
    <w:rsid w:val="00770EA4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36B63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C49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37C03"/>
    <w:rsid w:val="00B422A8"/>
    <w:rsid w:val="00B42BB5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67DAC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21167"/>
    <w:rsid w:val="00D34A1C"/>
    <w:rsid w:val="00D44CB4"/>
    <w:rsid w:val="00D47950"/>
    <w:rsid w:val="00D501DF"/>
    <w:rsid w:val="00D51672"/>
    <w:rsid w:val="00D64A8D"/>
    <w:rsid w:val="00D674F4"/>
    <w:rsid w:val="00D75479"/>
    <w:rsid w:val="00D77E26"/>
    <w:rsid w:val="00D826B6"/>
    <w:rsid w:val="00DA6A47"/>
    <w:rsid w:val="00DB0DD8"/>
    <w:rsid w:val="00DC39FF"/>
    <w:rsid w:val="00DD275A"/>
    <w:rsid w:val="00DE0891"/>
    <w:rsid w:val="00DE7189"/>
    <w:rsid w:val="00DE7437"/>
    <w:rsid w:val="00DF2F88"/>
    <w:rsid w:val="00E01D04"/>
    <w:rsid w:val="00E0297E"/>
    <w:rsid w:val="00E160F9"/>
    <w:rsid w:val="00E35E4E"/>
    <w:rsid w:val="00E4636E"/>
    <w:rsid w:val="00E62EAE"/>
    <w:rsid w:val="00E92C5A"/>
    <w:rsid w:val="00EB38E8"/>
    <w:rsid w:val="00ED7CC2"/>
    <w:rsid w:val="00EE470D"/>
    <w:rsid w:val="00F07687"/>
    <w:rsid w:val="00F3474D"/>
    <w:rsid w:val="00F5587A"/>
    <w:rsid w:val="00F66BAF"/>
    <w:rsid w:val="00F6720C"/>
    <w:rsid w:val="00F777AA"/>
    <w:rsid w:val="00F84F14"/>
    <w:rsid w:val="00F921D7"/>
    <w:rsid w:val="00F9402F"/>
    <w:rsid w:val="00F978D1"/>
    <w:rsid w:val="00FA005C"/>
    <w:rsid w:val="00FA7AD4"/>
    <w:rsid w:val="00FC090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1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uiPriority w:val="99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alloon Text"/>
    <w:basedOn w:val="a"/>
    <w:link w:val="11"/>
    <w:uiPriority w:val="99"/>
    <w:semiHidden/>
    <w:unhideWhenUsed/>
    <w:rsid w:val="0076576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3"/>
    <w:uiPriority w:val="99"/>
    <w:semiHidden/>
    <w:rsid w:val="00765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5011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7</cp:revision>
  <cp:lastPrinted>2022-01-31T12:43:00Z</cp:lastPrinted>
  <dcterms:created xsi:type="dcterms:W3CDTF">2023-02-01T06:38:00Z</dcterms:created>
  <dcterms:modified xsi:type="dcterms:W3CDTF">2023-04-25T11:38:00Z</dcterms:modified>
</cp:coreProperties>
</file>