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EE" w:rsidRPr="00432396" w:rsidRDefault="008870EE" w:rsidP="00972AA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3239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ИСПОЛНИТЕЛЬНЫЙ КОМИТЕТ АКСУБАЕВСКОГО МУНИЦИПАЛЬНОГО РАЙОНА РЕСПУБЛИКИ ТАТАРСТАН </w:t>
      </w:r>
    </w:p>
    <w:p w:rsidR="008870EE" w:rsidRPr="00432396" w:rsidRDefault="008870EE" w:rsidP="00972AA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3239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  </w:t>
      </w:r>
    </w:p>
    <w:p w:rsidR="008870EE" w:rsidRPr="00432396" w:rsidRDefault="008870EE" w:rsidP="00972AA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870EE" w:rsidRPr="007B191B" w:rsidRDefault="008870EE" w:rsidP="00972AA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3239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ПОСТАНОВЛЕНИЕ </w:t>
      </w:r>
      <w:r w:rsidR="007B191B" w:rsidRPr="007B191B">
        <w:rPr>
          <w:rFonts w:ascii="Times New Roman" w:hAnsi="Times New Roman" w:cs="Times New Roman"/>
          <w:b/>
          <w:bCs/>
          <w:color w:val="auto"/>
          <w:sz w:val="28"/>
          <w:szCs w:val="28"/>
        </w:rPr>
        <w:t>(</w:t>
      </w:r>
      <w:r w:rsidR="007B191B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ПРОЕКТ)</w:t>
      </w:r>
    </w:p>
    <w:p w:rsidR="008870EE" w:rsidRPr="00432396" w:rsidRDefault="008870EE" w:rsidP="00972AA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3239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  </w:t>
      </w:r>
    </w:p>
    <w:p w:rsidR="008870EE" w:rsidRPr="00972AA8" w:rsidRDefault="008870EE" w:rsidP="00972AA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870EE" w:rsidRPr="00972AA8" w:rsidRDefault="008870EE" w:rsidP="00972AA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72AA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972AA8">
        <w:rPr>
          <w:rFonts w:ascii="Times New Roman" w:hAnsi="Times New Roman" w:cs="Times New Roman"/>
          <w:bCs/>
          <w:color w:val="auto"/>
          <w:sz w:val="28"/>
          <w:szCs w:val="28"/>
        </w:rPr>
        <w:t>от   июня  2023 года</w:t>
      </w:r>
      <w:r w:rsidRPr="00972AA8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972AA8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972AA8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972AA8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972AA8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972AA8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972AA8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N  </w:t>
      </w:r>
    </w:p>
    <w:p w:rsidR="008870EE" w:rsidRPr="00972AA8" w:rsidRDefault="008870EE" w:rsidP="00972AA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72AA8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</w:p>
    <w:p w:rsidR="008870EE" w:rsidRPr="00972AA8" w:rsidRDefault="008870EE" w:rsidP="00972AA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870EE" w:rsidRPr="00897BFF" w:rsidRDefault="008870EE" w:rsidP="00972AA8">
      <w:pPr>
        <w:pStyle w:val="HEADERTEXT"/>
        <w:ind w:right="3261"/>
        <w:jc w:val="both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97BFF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</w:t>
      </w:r>
      <w:r w:rsidRPr="00897BF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897BFF">
        <w:rPr>
          <w:rFonts w:ascii="Times New Roman" w:hAnsi="Times New Roman" w:cs="Times New Roman"/>
          <w:color w:val="auto"/>
          <w:sz w:val="28"/>
          <w:szCs w:val="28"/>
        </w:rPr>
        <w:t xml:space="preserve">Регламента по </w:t>
      </w:r>
      <w:r w:rsidRPr="00897BFF">
        <w:rPr>
          <w:rFonts w:ascii="Times New Roman" w:hAnsi="Times New Roman"/>
          <w:color w:val="auto"/>
          <w:sz w:val="28"/>
          <w:szCs w:val="28"/>
        </w:rPr>
        <w:t xml:space="preserve">выявлению,  </w:t>
      </w:r>
      <w:r w:rsidRPr="00897BFF">
        <w:rPr>
          <w:rFonts w:ascii="Times New Roman" w:hAnsi="Times New Roman" w:cs="Times New Roman"/>
          <w:color w:val="auto"/>
          <w:sz w:val="28"/>
          <w:szCs w:val="28"/>
        </w:rPr>
        <w:t>анализу и</w:t>
      </w:r>
      <w:r w:rsidRPr="00897BFF">
        <w:rPr>
          <w:rFonts w:ascii="Times New Roman" w:hAnsi="Times New Roman"/>
          <w:color w:val="auto"/>
          <w:sz w:val="28"/>
          <w:szCs w:val="28"/>
        </w:rPr>
        <w:t xml:space="preserve"> устранению критичных уязвимостей в информационных системах</w:t>
      </w:r>
      <w:r w:rsidRPr="00897B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870EE" w:rsidRPr="00972AA8" w:rsidRDefault="008870EE" w:rsidP="00972AA8">
      <w:pPr>
        <w:pStyle w:val="HORIZLINE"/>
        <w:jc w:val="center"/>
        <w:rPr>
          <w:rFonts w:ascii="Times New Roman" w:hAnsi="Times New Roman" w:cs="Times New Roman"/>
          <w:sz w:val="28"/>
          <w:szCs w:val="28"/>
        </w:rPr>
      </w:pPr>
    </w:p>
    <w:p w:rsidR="008870EE" w:rsidRPr="00972AA8" w:rsidRDefault="008870EE" w:rsidP="00972AA8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8870EE" w:rsidRPr="00972AA8" w:rsidRDefault="008870EE" w:rsidP="00972AA8">
      <w:pPr>
        <w:tabs>
          <w:tab w:val="left" w:pos="0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A8">
        <w:rPr>
          <w:rFonts w:ascii="Times New Roman" w:hAnsi="Times New Roman" w:cs="Times New Roman"/>
          <w:sz w:val="28"/>
          <w:szCs w:val="28"/>
        </w:rPr>
        <w:t>В целях усиления обеспечения безопасности информации и повышения защищенности информационных систем в органах местного самоуправления Аксуюаевского муниципального района Республики Татарстан, в соответствии с методическими документами ФСТЭК России и письма  Министерства цифрового развития государственного управления, информационных технологий и связи Республики Татарстан №14-4/2922 от  09.06.2023 г.</w:t>
      </w:r>
      <w:r w:rsidR="000907B3" w:rsidRPr="000907B3">
        <w:rPr>
          <w:rFonts w:ascii="Times New Roman" w:hAnsi="Times New Roman" w:cs="Times New Roman"/>
          <w:sz w:val="28"/>
          <w:szCs w:val="28"/>
        </w:rPr>
        <w:t xml:space="preserve"> </w:t>
      </w:r>
      <w:r w:rsidR="000907B3">
        <w:rPr>
          <w:rFonts w:ascii="Times New Roman" w:hAnsi="Times New Roman" w:cs="Times New Roman"/>
          <w:sz w:val="28"/>
          <w:szCs w:val="28"/>
        </w:rPr>
        <w:t>Исполнительный  комитет Аксубаевского муниципального района Республики Татарстан</w:t>
      </w:r>
    </w:p>
    <w:p w:rsidR="008870EE" w:rsidRPr="000907B3" w:rsidRDefault="008870EE" w:rsidP="000907B3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7B3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0907B3" w:rsidRPr="000907B3">
        <w:rPr>
          <w:rFonts w:ascii="Times New Roman" w:hAnsi="Times New Roman" w:cs="Times New Roman"/>
          <w:b/>
          <w:sz w:val="28"/>
          <w:szCs w:val="28"/>
        </w:rPr>
        <w:t>ЕТ</w:t>
      </w:r>
      <w:r w:rsidRPr="000907B3">
        <w:rPr>
          <w:rFonts w:ascii="Times New Roman" w:hAnsi="Times New Roman" w:cs="Times New Roman"/>
          <w:b/>
          <w:sz w:val="28"/>
          <w:szCs w:val="28"/>
        </w:rPr>
        <w:t xml:space="preserve">:  </w:t>
      </w:r>
    </w:p>
    <w:p w:rsidR="008870EE" w:rsidRPr="00972AA8" w:rsidRDefault="008870EE" w:rsidP="00972AA8">
      <w:pPr>
        <w:pStyle w:val="ac"/>
        <w:tabs>
          <w:tab w:val="left" w:pos="0"/>
        </w:tabs>
        <w:spacing w:line="240" w:lineRule="auto"/>
        <w:ind w:firstLine="0"/>
        <w:rPr>
          <w:rFonts w:ascii="Times New Roman" w:hAnsi="Times New Roman"/>
          <w:sz w:val="28"/>
        </w:rPr>
      </w:pPr>
      <w:r w:rsidRPr="00972AA8">
        <w:rPr>
          <w:rFonts w:ascii="Times New Roman" w:hAnsi="Times New Roman"/>
          <w:sz w:val="28"/>
        </w:rPr>
        <w:tab/>
        <w:t>1. Утвердить Регламент по выявлению,  анализу и устранению критичных уязвимостей в информационных системах, согласно приложения.</w:t>
      </w:r>
    </w:p>
    <w:p w:rsidR="008870EE" w:rsidRPr="00972AA8" w:rsidRDefault="008870EE" w:rsidP="00972A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72AA8">
        <w:rPr>
          <w:rFonts w:ascii="Times New Roman" w:hAnsi="Times New Roman" w:cs="Times New Roman"/>
          <w:sz w:val="28"/>
          <w:szCs w:val="28"/>
        </w:rPr>
        <w:t xml:space="preserve">2. </w:t>
      </w:r>
      <w:r w:rsidR="005F6E25" w:rsidRPr="00972AA8">
        <w:rPr>
          <w:rFonts w:ascii="Times New Roman" w:hAnsi="Times New Roman" w:cs="Times New Roman"/>
          <w:sz w:val="28"/>
          <w:szCs w:val="28"/>
        </w:rPr>
        <w:t>Р</w:t>
      </w:r>
      <w:r w:rsidRPr="00972AA8">
        <w:rPr>
          <w:rFonts w:ascii="Times New Roman" w:hAnsi="Times New Roman" w:cs="Times New Roman"/>
          <w:sz w:val="28"/>
          <w:szCs w:val="28"/>
        </w:rPr>
        <w:t>азместить настоящее постановление на официальном сайте Аксубаевского муниципального района Республики Татарстан в сети интернет по адресу (http://aksubayevo.tatarstan.ru) и опубликовать на официальном портале правовой информации Республики Татарстан (httр://pravo.tatarstan.ru).</w:t>
      </w:r>
    </w:p>
    <w:p w:rsidR="008870EE" w:rsidRPr="00972AA8" w:rsidRDefault="00313147" w:rsidP="00972A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70EE" w:rsidRPr="00972AA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руководителя по управлению финансами и имуществом Исполнительного комитета Аксубаевского муници</w:t>
      </w:r>
      <w:r w:rsidR="00942133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942133">
        <w:rPr>
          <w:rFonts w:ascii="Times New Roman" w:hAnsi="Times New Roman" w:cs="Times New Roman"/>
          <w:sz w:val="28"/>
          <w:szCs w:val="28"/>
        </w:rPr>
        <w:t>Республики Татарстан</w:t>
      </w:r>
      <w:bookmarkStart w:id="0" w:name="_GoBack"/>
      <w:bookmarkEnd w:id="0"/>
      <w:r w:rsidR="000907B3">
        <w:rPr>
          <w:rFonts w:ascii="Times New Roman" w:hAnsi="Times New Roman" w:cs="Times New Roman"/>
          <w:sz w:val="28"/>
          <w:szCs w:val="28"/>
        </w:rPr>
        <w:t>.</w:t>
      </w:r>
    </w:p>
    <w:p w:rsidR="008870EE" w:rsidRPr="00972AA8" w:rsidRDefault="008870EE" w:rsidP="00972AA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72AA8">
        <w:rPr>
          <w:rFonts w:ascii="Times New Roman" w:hAnsi="Times New Roman" w:cs="Times New Roman"/>
          <w:sz w:val="28"/>
          <w:szCs w:val="28"/>
        </w:rPr>
        <w:t>         </w:t>
      </w:r>
    </w:p>
    <w:p w:rsidR="008870EE" w:rsidRDefault="008870EE" w:rsidP="00972AA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972AA8">
        <w:rPr>
          <w:rFonts w:ascii="Times New Roman" w:hAnsi="Times New Roman" w:cs="Times New Roman"/>
          <w:sz w:val="28"/>
          <w:szCs w:val="28"/>
        </w:rPr>
        <w:t>Руководитель</w:t>
      </w:r>
      <w:r w:rsidR="000907B3">
        <w:rPr>
          <w:rFonts w:ascii="Times New Roman" w:hAnsi="Times New Roman" w:cs="Times New Roman"/>
          <w:sz w:val="28"/>
          <w:szCs w:val="28"/>
        </w:rPr>
        <w:t xml:space="preserve"> </w:t>
      </w:r>
      <w:r w:rsidRPr="00972AA8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907B3" w:rsidRDefault="000907B3" w:rsidP="00972AA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972AA8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8870EE" w:rsidRPr="00972AA8" w:rsidRDefault="000907B3" w:rsidP="000907B3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</w:t>
      </w:r>
      <w:r w:rsidR="008870EE" w:rsidRPr="00972AA8">
        <w:rPr>
          <w:rFonts w:ascii="Times New Roman" w:hAnsi="Times New Roman" w:cs="Times New Roman"/>
          <w:sz w:val="28"/>
          <w:szCs w:val="28"/>
        </w:rPr>
        <w:t>    С.Ю.Зайцев</w:t>
      </w:r>
    </w:p>
    <w:p w:rsidR="008870EE" w:rsidRPr="00972AA8" w:rsidRDefault="008870EE" w:rsidP="00972AA8">
      <w:pPr>
        <w:pStyle w:val="FORMATTEXT"/>
        <w:jc w:val="right"/>
        <w:rPr>
          <w:sz w:val="28"/>
          <w:szCs w:val="28"/>
        </w:rPr>
      </w:pPr>
    </w:p>
    <w:p w:rsidR="008870EE" w:rsidRPr="00972AA8" w:rsidRDefault="008870EE" w:rsidP="00972AA8">
      <w:pPr>
        <w:pStyle w:val="FORMATTEXT"/>
        <w:jc w:val="right"/>
        <w:rPr>
          <w:sz w:val="28"/>
          <w:szCs w:val="28"/>
        </w:rPr>
      </w:pPr>
    </w:p>
    <w:p w:rsidR="008870EE" w:rsidRDefault="008870EE" w:rsidP="00972AA8">
      <w:pPr>
        <w:pStyle w:val="FORMATTEXT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972AA8" w:rsidRDefault="00972AA8" w:rsidP="00972AA8">
      <w:pPr>
        <w:pStyle w:val="FORMATTEXT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972AA8" w:rsidRDefault="00972AA8" w:rsidP="00972AA8">
      <w:pPr>
        <w:pStyle w:val="FORMATTEXT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972AA8" w:rsidRDefault="00972AA8" w:rsidP="00972AA8">
      <w:pPr>
        <w:pStyle w:val="FORMATTEXT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972AA8" w:rsidRDefault="00972AA8" w:rsidP="00972AA8">
      <w:pPr>
        <w:pStyle w:val="FORMATTEXT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972AA8" w:rsidRPr="00972AA8" w:rsidRDefault="00972AA8" w:rsidP="00972AA8">
      <w:pPr>
        <w:pStyle w:val="FORMATTEXT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8870EE" w:rsidRPr="00972AA8" w:rsidRDefault="008870EE" w:rsidP="00972AA8">
      <w:pPr>
        <w:pStyle w:val="FORMATTEXT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8870EE" w:rsidRPr="00972AA8" w:rsidRDefault="008870EE" w:rsidP="00972AA8">
      <w:pPr>
        <w:pStyle w:val="FORMATTEXT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8870EE" w:rsidRPr="000907B3" w:rsidRDefault="008870EE" w:rsidP="00972AA8">
      <w:pPr>
        <w:pStyle w:val="FORMATTEXT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8870EE" w:rsidRPr="000907B3" w:rsidRDefault="008870EE" w:rsidP="00972AA8">
      <w:pPr>
        <w:pStyle w:val="FORMATTEXT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8870EE" w:rsidRPr="000907B3" w:rsidRDefault="008870EE" w:rsidP="000907B3">
      <w:pPr>
        <w:pStyle w:val="FORMATTEXT"/>
        <w:ind w:firstLine="5529"/>
        <w:rPr>
          <w:rFonts w:ascii="Times New Roman" w:hAnsi="Times New Roman" w:cs="Times New Roman"/>
          <w:sz w:val="28"/>
          <w:szCs w:val="28"/>
        </w:rPr>
      </w:pPr>
      <w:r w:rsidRPr="000907B3">
        <w:rPr>
          <w:rFonts w:ascii="Times New Roman" w:hAnsi="Times New Roman" w:cs="Times New Roman"/>
          <w:sz w:val="28"/>
          <w:szCs w:val="28"/>
        </w:rPr>
        <w:t>Приложение</w:t>
      </w:r>
    </w:p>
    <w:p w:rsidR="008870EE" w:rsidRPr="000907B3" w:rsidRDefault="008870EE" w:rsidP="00972AA8">
      <w:pPr>
        <w:pStyle w:val="FORMATTEXT"/>
        <w:ind w:left="5529"/>
        <w:rPr>
          <w:rFonts w:ascii="Times New Roman" w:hAnsi="Times New Roman" w:cs="Times New Roman"/>
          <w:sz w:val="28"/>
          <w:szCs w:val="28"/>
        </w:rPr>
      </w:pPr>
      <w:r w:rsidRPr="000907B3">
        <w:rPr>
          <w:rFonts w:ascii="Times New Roman" w:hAnsi="Times New Roman" w:cs="Times New Roman"/>
          <w:sz w:val="28"/>
          <w:szCs w:val="28"/>
        </w:rPr>
        <w:t>Утвержден  постановлением Исполнительного комитета Аксубаевского муниципального района  Республики Татарстан</w:t>
      </w:r>
    </w:p>
    <w:p w:rsidR="008870EE" w:rsidRPr="000907B3" w:rsidRDefault="000907B3" w:rsidP="00972AA8">
      <w:pPr>
        <w:pStyle w:val="FORMATTEXT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«______»______2023 №_____</w:t>
      </w:r>
      <w:r w:rsidR="008870EE" w:rsidRPr="00090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873" w:rsidRPr="000907B3" w:rsidRDefault="00895873" w:rsidP="00972AA8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873" w:rsidRDefault="00895873" w:rsidP="00972AA8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07B3" w:rsidRDefault="008870EE" w:rsidP="00972AA8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0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ВЫЯВЛЕНИЮ, АНАЛИЗУ И УСТРАНЕНИЮ КРИТИЧНЫХ УЯЗВИМОСТЕЙ В ИНФОРМАЦИОННЫХ СИСТЕМАХ </w:t>
      </w:r>
      <w:bookmarkStart w:id="1" w:name="_Toc117755892"/>
      <w:bookmarkStart w:id="2" w:name="_Toc117755942"/>
      <w:bookmarkStart w:id="3" w:name="_Toc117755961"/>
      <w:bookmarkStart w:id="4" w:name="_Toc63407164"/>
      <w:bookmarkStart w:id="5" w:name="_Toc117755943"/>
      <w:bookmarkStart w:id="6" w:name="_Toc117755962"/>
      <w:bookmarkStart w:id="7" w:name="_Toc136849980"/>
      <w:bookmarkStart w:id="8" w:name="_Toc137023632"/>
      <w:bookmarkEnd w:id="1"/>
      <w:bookmarkEnd w:id="2"/>
      <w:bookmarkEnd w:id="3"/>
    </w:p>
    <w:p w:rsidR="000907B3" w:rsidRDefault="000907B3" w:rsidP="00972AA8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895873" w:rsidRDefault="008F0520" w:rsidP="00972AA8">
      <w:pPr>
        <w:keepNext/>
        <w:keepLines/>
        <w:suppressAutoHyphens/>
        <w:autoSpaceDN w:val="0"/>
        <w:spacing w:after="360" w:line="240" w:lineRule="auto"/>
        <w:ind w:left="568" w:right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1. ОБЩИЕ ПОЛОЖЕНИЯ</w:t>
      </w:r>
      <w:bookmarkEnd w:id="4"/>
      <w:bookmarkEnd w:id="5"/>
      <w:bookmarkEnd w:id="6"/>
      <w:bookmarkEnd w:id="7"/>
      <w:bookmarkEnd w:id="8"/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1.1. Настоящий Регламент по выявлению, анализу и устранению критичных уязвимостей в информационных системах (далее – ИС) эксплуатируемых в органе, организации (далее – Регламент) разработан в соответствии с Руководством по организации процесса управления уязвимостями в органе (организации) утвержденным ФСТЭК России от 17 мая 2023 г. и в соответствии с Методикой оценки уровня критичности уязвимостей программных, программно-аппаратных средств утвержденной ФСТЭК России от 28 октября 2022 г.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1.2. Настоящий Регламент подлежит применению операторами информационных систем при принятии ими мер по выявлению, анализа и устранению уязвимостей программных, программно-аппаратных средств информационных систем в соответствии с требованиями о защите информации, содержащейся в государственных ИС, а также иными нормативными правовыми актами и методическими документами ФСТЭК России.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1.3. Выявление, анализ и устранение уязвимостей в сертифицированных программных, программно-аппаратных средствах защиты информации обеспечивается в приоритетном порядке и осуществляется в соответствии с эксплуатационной документацией на них, а также с рекомендациями разработчика.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sz w:val="28"/>
          <w:lang w:eastAsia="ru-RU"/>
        </w:rPr>
        <w:t>В Регламенте используются термины и определения, установленные национальными стандартами ГОСТ Р 50922-2006 «Защита информации. Основные термины и определения», ГОСТ Р 56545-2015 «Защита информации. Уязвимости информационных систем. Правила описания уязвимостей»,</w:t>
      </w:r>
      <w:r>
        <w:rPr>
          <w:rFonts w:ascii="Times New Roman" w:eastAsia="Times New Roman" w:hAnsi="Times New Roman" w:cs="Times New Roman"/>
          <w:sz w:val="28"/>
          <w:lang w:eastAsia="ru-RU"/>
        </w:rPr>
        <w:br/>
        <w:t>ГОСТ Р 56546-2015 «Защита информации. Уязвимости информационных систем. Классификация уязвимостей информационных систем» и иными национальными стандартами в области защиты информации и обеспечения информационной безопасности.</w:t>
      </w:r>
      <w:r w:rsidR="005F6E2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Целями регламента являются: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>координация деятельности исполнительных органов государственной власти Республики Татарстан и органов местного самоуправления в Республике Татарстан по выявлению, анализу и устранению критичных уязвимостей в ИС;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основы для разработки детальных регламентов и стандартов по управлению уязвимостями с учетом особенностей функционирования органов (организаций);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организация взаимодействия между структурными подразделениями органов (организаций) по вопросам устранения уязвимостей.</w:t>
      </w:r>
    </w:p>
    <w:p w:rsidR="000907B3" w:rsidRDefault="000907B3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873" w:rsidRDefault="008F0520" w:rsidP="00972AA8">
      <w:pPr>
        <w:pStyle w:val="a5"/>
        <w:keepNext/>
        <w:keepLines/>
        <w:numPr>
          <w:ilvl w:val="0"/>
          <w:numId w:val="9"/>
        </w:numPr>
        <w:suppressAutoHyphens/>
        <w:autoSpaceDN w:val="0"/>
        <w:spacing w:after="360" w:line="240" w:lineRule="auto"/>
        <w:ind w:left="709" w:right="567" w:firstLine="0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bookmarkStart w:id="9" w:name="_Toc63407165"/>
      <w:bookmarkStart w:id="10" w:name="_Toc117755944"/>
      <w:bookmarkStart w:id="11" w:name="_Toc117755963"/>
      <w:bookmarkStart w:id="12" w:name="_Toc136849981"/>
      <w:bookmarkStart w:id="13" w:name="_Toc13702363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bookmarkEnd w:id="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ВЫЯВЛЕНИЯ КРИТИЧНЫХ УЯЗВИМОСТЕЙ ПРОГРАММНЫХ, ПРОГРАММНО-АППАРАТНЫХ СРЕДСТВ</w:t>
      </w:r>
      <w:bookmarkEnd w:id="10"/>
      <w:bookmarkEnd w:id="11"/>
      <w:bookmarkEnd w:id="12"/>
      <w:bookmarkEnd w:id="13"/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ИС должно осуществляться выявление следующих типов уязвимостей: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недостатки и(или) ошибки программного обеспечения (далее ПО) ИС и ее системы защиты информации (далее – СЗИ).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недостатки аппаратных средств ИС, в том числе аппаратных средств защиты информации.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организационно-технические недостатки.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Непосредственными исполнителями мероприятий по выявлению, анализу и устранению уязвимостей ИС являются администратор безопасности и системные администраторы ИС.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мониторинга уязвимостей и оценки их применимости осуществляется выявление уязвимостей на основании данных, получаемых из внешних и внутренних источников и принятие решений по их последующей обработке.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управления уязвимостями организуется для всех ИС органа (организации) и должен предусматривать постоянную и непрерывную актуализацию сведений об уязвимостях и объектах ИС. При изменении статуса уязвимостей (применимость к ИС, наличие исправлений, критичность) должны корректироваться способы их устранения.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управления уязвимостями связан с другими процессами и процедурами деятельности органа (организации):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мониторинг информационной безопасности – процесс постоянного наблюдения и анализа результатов регистрации событий безопасности и иных данных с целью выявления нарушений безопасности информации, угроз безопасности информации и уязвимостей;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оценка защищенности – анализ возможности использования обнаруженных уязвимостей для реализации компьютерных атак на ИС органа (организации);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оценка угроз безопасности информации – выявление и оценка актуальности угроз, реализация (возникновение) которых возможна в ИС органа (организации);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управление конфигурацией – контроль изменений, состава и настроек программного и программно-аппаратного обеспечения ИС;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управление обновлениями – приобретение, анализ и развертывание обновлений программного обеспечения в органе (организации);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применение компенсирующих мер защиты информации – разработка и применение мер защиты информации, которые применяются в ИС взамен отдельных мер защиты информации, подлежащих реализации в соответствии с требованиями по защите информации, в связи с невозможностью их применения.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критичности уязвимостей оценивается в целях принятия обоснованного </w:t>
      </w:r>
      <w:r>
        <w:rPr>
          <w:rFonts w:ascii="Times New Roman" w:eastAsia="Times New Roman" w:hAnsi="Times New Roman" w:cs="Times New Roman"/>
          <w:sz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администраторами безопасности о необходимости устранения уязвимостей, выявленных в программных, программно-аппаратных средствах по результатам анализа уязвимостей в ИС.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Исходными данными для определения критичности уязвимостей являются: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база уязвимостей программного обеспечения, программно-аппаратных средств, содержащаяся в Банке данных угроз безопасности информации ФСТЭК России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fstec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иные источники, содержащие сведения об известных уязвимостях;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официальные информационные ресурсы разработчиков программного обеспечения, программно-аппаратных средств и исследователей в области информационной безопасности;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сведения о составе и архитектуре информационных систем, полученные по результатам их инвентаризации и (или) приведенные в документации на информационные системы;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результаты контроля защищенности информационных систем, проведенные оператором.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исходные данные могут уточняться или дополняться с учетом особенностей </w:t>
      </w:r>
      <w:r>
        <w:rPr>
          <w:rFonts w:ascii="Times New Roman" w:eastAsia="Times New Roman" w:hAnsi="Times New Roman" w:cs="Times New Roman"/>
          <w:sz w:val="28"/>
          <w:lang w:eastAsia="ru-RU"/>
        </w:rPr>
        <w:t>области деятельности, в которой функционируют ИС.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критичности уязвимостей программных, программно-аппаратных средств проводится администраторами безопасности.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критичности уязвимостей программных, программно-аппаратных средств применительно к конкретной ИС включает: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определение программных, программно-аппаратных средств,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подверженных уязвимостям;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определение в информационной системе места установки программных, программно-аппаратных средств, подверженных уязвимостям (например, на периметре системы, во внутреннем сегменте системы, при реализации критических процессов (бизнес-процессов) и других сегментах ИС);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расчет уровня критичности уязвимости программных, программно-аппаратных средств в ИС.</w:t>
      </w:r>
    </w:p>
    <w:p w:rsidR="005F6E25" w:rsidRDefault="005F6E25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873" w:rsidRDefault="008F0520" w:rsidP="00972AA8">
      <w:pPr>
        <w:spacing w:line="240" w:lineRule="auto"/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</w:pPr>
      <w:bookmarkStart w:id="14" w:name="_Toc117755945"/>
      <w:bookmarkStart w:id="15" w:name="_Toc117755964"/>
      <w:bookmarkStart w:id="16" w:name="_Toc136849982"/>
      <w:r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br w:type="page"/>
      </w:r>
    </w:p>
    <w:p w:rsidR="00895873" w:rsidRDefault="008F0520" w:rsidP="00972AA8">
      <w:pPr>
        <w:pStyle w:val="a5"/>
        <w:keepNext/>
        <w:keepLines/>
        <w:numPr>
          <w:ilvl w:val="0"/>
          <w:numId w:val="9"/>
        </w:numPr>
        <w:suppressAutoHyphens/>
        <w:autoSpaceDN w:val="0"/>
        <w:spacing w:after="360" w:line="240" w:lineRule="auto"/>
        <w:ind w:left="709" w:right="567" w:firstLine="0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17" w:name="_Toc13702363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АНАЛИЗА КРИТИЧНЫХ УЯЗВИМОСТЕЙ ПРОГРАММНЫХ, ПРОГРАММНО-АППАРАТНЫХ СРЕДСТВ</w:t>
      </w:r>
      <w:bookmarkEnd w:id="17"/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анализа уязвимостей определяется уровень критичности уязвимостей применительно к ИС органа (организации) и осуществляется выявление уязвимостей на основании данных из следующих источников: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внутренние источники: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системы управления информационной инфраструктурой (далее – ИТ -инфраструктура);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базы данных управления конфигурациями;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документация на ИС;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электронные базы знаний органов (организаций);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база данных уязвимостей, содержащаяся в Банке данных угроз безопасности информации (далее – БДУ) ФСТЭК России;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внешние источники: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базы данных, содержащие сведения об известных уязвимостях;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официальные информационные ресурсы разработчиков программных и программно-аппаратных средств и исследователей в области информационной безопасности. 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данных могут уточняться или дополняться с учетом особенностей функционирования органа (организации)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анализа уязвимостей и оценки их применимости выполняются операции, приведенные в таблице 3.1.</w:t>
      </w: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3.1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01"/>
        <w:gridCol w:w="7306"/>
      </w:tblGrid>
      <w:tr w:rsidR="008958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операции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Описание операции</w:t>
            </w:r>
          </w:p>
        </w:tc>
      </w:tr>
      <w:tr w:rsidR="008958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Анализ информации об уязвимости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Анализ информации из различных источников c целью поиска актуальных и потенциальных уязвимостей и оценки их применимости к информационным системам органа (организации). Агрегирование и корреляция собираемых данных об уязвимостях</w:t>
            </w:r>
          </w:p>
        </w:tc>
      </w:tr>
      <w:tr w:rsidR="008958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Оценка применимости уязвимости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основе информации об объектах информационных систем и их состоянии определяется применимость уязвимости к информационным системам органа (организации) с целью определения уязвимостей, не требующих дальнейшей обработки (не релевантных уязвимостей). Оценка применимости уязвимостей производится: на основе анализа данных об ИТ-инфраструктуре, полученных из баз данных управления конфигурациями в рамках процесса «Управление конфигурацией»; на основе анализа данных о возможных объектах воздействия, полученных в результате моделирования угроз в рамках процесса «Оценка угроз»; по результатам оценки защищенности</w:t>
            </w:r>
          </w:p>
        </w:tc>
      </w:tr>
      <w:tr w:rsidR="008958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Принятие решений на получение дополнительной информации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Запрос дополнительной информации об уязвимости (сканирование объектов, оценка защищенности), если имеющихся данных недостаточно для принятия решений по управлению уязвимостями</w:t>
            </w:r>
          </w:p>
        </w:tc>
      </w:tr>
      <w:tr w:rsidR="008958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Постановка задачи на сканирование объектов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  <w:tab w:val="left" w:pos="171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Запрос на внеплановое сканирование объектов информационных систем в случае недостаточности либо неактуальности имеющихся данных, а также в случае получения информации об уязвимости после последнего сканирования</w:t>
            </w:r>
          </w:p>
        </w:tc>
      </w:tr>
      <w:tr w:rsidR="008958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Сканирование объектов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Поиск уязвимостей и недостатков с помощью автоматизированных систем анализа защищенности. Выбор объектов и времени сканирования, уведомление заинтересованных подразделений (например, ситуационного центра, подразделения ИТ) о проведении сканирования и дальнейшее сканирование выбранных объектов на наличие уязвимости</w:t>
            </w:r>
          </w:p>
        </w:tc>
      </w:tr>
      <w:tr w:rsidR="008958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Оценка защищенности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Экспертная оценка возможности применения уязвимости к информационным системам. В ходе оценки защищенности осуществляется проверка возможности эксплуатации уязвимости в информационных системах органа (организации) с использованием средства эксплуатации уязвимости, в том числе, в ходе тестирования на проникновение (тестирования системы защиты информации путем осуществления попыток несанкционированного доступа (воздействия) к информационной системе в обход ее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системы защиты информации)</w:t>
            </w:r>
          </w:p>
        </w:tc>
      </w:tr>
    </w:tbl>
    <w:p w:rsidR="00895873" w:rsidRDefault="00895873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873" w:rsidRDefault="008F0520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таблицы 3.1. в органе (организации) должно разрабатываться детальное описание операций, включающее наименование операций, описание операций, исполнителей, продолжительность, входные и выходные данные. Детальное описание операций включается в организационно-распорядительные документы по защите информации органа (организации).</w:t>
      </w:r>
    </w:p>
    <w:p w:rsidR="00972AA8" w:rsidRDefault="00972AA8" w:rsidP="00972AA8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873" w:rsidRDefault="008F0520" w:rsidP="00972AA8">
      <w:pPr>
        <w:keepNext/>
        <w:keepLines/>
        <w:suppressAutoHyphens/>
        <w:autoSpaceDN w:val="0"/>
        <w:spacing w:after="360" w:line="240" w:lineRule="auto"/>
        <w:ind w:left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bookmarkStart w:id="18" w:name="_Toc136849983"/>
      <w:bookmarkStart w:id="19" w:name="_Toc137023635"/>
      <w:bookmarkEnd w:id="14"/>
      <w:bookmarkEnd w:id="15"/>
      <w:bookmarkEnd w:id="16"/>
      <w:bookmarkEnd w:id="1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ПОРЯДОК УСТРАНЕНИЯ КРИТИЧНЫХ УЯЗВИМОСТЕЙ ПРОГРАММНЫХ, ПРОГРАММНО-АППАРАТНЫХ СРЕДСТВ</w:t>
      </w:r>
      <w:bookmarkEnd w:id="19"/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4.1. На этапе определения методов и приоритетов устранения уязвимостей определяется приоритетность устранения уязвимостей и выбираются методы их устранения: обновление программного обеспечения и (или) применение компенсирующих мер защиты информации, также принимаются меры, направленные на устранение или исключение возможности использования (эксплуатации) выявленных уязвимостей. 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На этапе определения методов и приоритетов устранения уязвимостей решаются задачи: 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определения приоритетности устранения уязвимостей; 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выбора методов устранения уязвимостей: 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обновление программного обеспечения и (или) применение компенсирующих мер защиты информации. 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На этапе определения методов и приоритетов устранения уязвимостей выполняются операции, приведенные в таблице 4.1.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Таблица 4.1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3120"/>
        <w:gridCol w:w="6088"/>
      </w:tblGrid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операции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Описание операции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Определение приоритетности устранения уязвимостей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Определение приоритетности устранения уязвимостей в соответствии с результатами расчета критичности уязвимостей на этапе оценки уязвимостей (этап 4)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Определение методов устранения уязвимостей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Выбор метода устранения уязвимости: установка обновления или применение компенсирующих мер защиты информации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Принятие решения о срочной установке обновлений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1620"/>
              </w:tabs>
              <w:suppressAutoHyphens/>
              <w:autoSpaceDN w:val="0"/>
              <w:spacing w:after="200" w:line="240" w:lineRule="auto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 обнаружении критической уязвимости может быть принято решение о срочной установке обновления программного обеспечения объектов информационных систем, подверженных уязвимости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Создание заявки на срочную установку обновления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  <w:tab w:val="left" w:pos="171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Заявка на срочную установку обновления направляется на согласование руководителю подразделения ИТ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Принятие решения о срочной реализации компенсирующих мер защиты информации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 обнаружении критической уязвимости может быть принято решение о срочной реализации компенсирующих мер защиты информации в качестве временного решения до установки обновления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заявки на установку обновления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Заявка создается в случае, если определено, что установка обновления для устранения данной уязвимости не запланирована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Создание заявки на реализацию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компенсирующих мер защиты информации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Заявка на реализацию компенсирующих мер защиты информации формируется при отсутствии возможности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установки обновления, а также в случае необходимости принятия мер до устранения уязвимости</w:t>
            </w:r>
          </w:p>
        </w:tc>
      </w:tr>
    </w:tbl>
    <w:p w:rsidR="00895873" w:rsidRDefault="008F0520" w:rsidP="00972AA8">
      <w:pPr>
        <w:suppressAutoHyphens/>
        <w:autoSpaceDN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На основе таблицы 4.1. в органе (организации) должно разрабатываться детальное описание операций, включающее наименование операций, описание операций, исполнителей, продолжительность, входные и выходные данные. Детальное описание операций включается в организационно-распорядительные документы по защите информации органа (организации).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4.2. На этапе устранения уязвимостей принимаются меры, направленные на устранение или исключение возможности использования (эксплуатации) уязвимостей, выявленные на этапе мониторинга. При этом выполняются операции, представленные в таблице 4.2.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Таблица 4.2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2269"/>
        <w:gridCol w:w="6939"/>
      </w:tblGrid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операции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Описание операции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Согласование установки с руководством подразделения ИТ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Срочная установка обновлений программного обеспечения предварительно согласовывается с руководством подразделения ИТ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Тестирование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Выявление потенциально опасных функциональных возможностей, незадекларированных разработчиком программных, программно-аппаратных средств, в том числе политических баннеров, лозунгов, призывов и иной противоправной информации (далее – недекларированные возможности)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Установка обновления в тестовом сегменте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1620"/>
              </w:tabs>
              <w:suppressAutoHyphens/>
              <w:autoSpaceDN w:val="0"/>
              <w:spacing w:after="200" w:line="240" w:lineRule="auto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Установка обновлений на выбранном тестовом сегменте информационной системы в целях определения влияния их установки на ее функционирование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Принятие решения об установке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  <w:tab w:val="left" w:pos="171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случае, если негативного влияния от установки обновления на выбранном сегменте системы не выявлено, принимается решение о его распространении в системе. В случае обнаружения негативного влияния от установки обновления на выбранном сегменте системы дальнейшее распространение обновления не осуществляется, при этом для нейтрализации уязвимости применяются компенсирующие меры защиты информации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Установка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Распространение обновления на объекты информационных систем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Формирование плана установки обновлений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Уязвимости, для устранения которых не была определена необходимость срочной установки обновлений, устраняются в ходе плановой установки обновлений. Формирование плана обновлений осуществляется с учетом заявок на установку обновлений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и реализация компенсирующих мер защиты информации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Разработка и применение мер защиты информации, которые применяются в информационных системах взамен отдельных мер защиты информации, подлежащих реализации в соответствии с требованиями по защите информации, в связи с невозможностью их установки, обнаружением негативного влияния от установки обновления, а также в случае необходимости принятия мер до устранения уязвимости. К компенсирующим мерам защиты информации могут относиться: организационные меры защиты информации, настройка средств защиты информации, анализ событий безопасности, внесение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изменений в ИТ-инфраструктуру</w:t>
            </w:r>
          </w:p>
        </w:tc>
      </w:tr>
    </w:tbl>
    <w:p w:rsidR="00895873" w:rsidRDefault="008F0520" w:rsidP="00972AA8">
      <w:pPr>
        <w:suppressAutoHyphens/>
        <w:autoSpaceDN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Тестирование обновлений программных и программно-аппаратных средств осуществляется в соответствии с Регламентом по выявлению, анализу и устранению критичных уязвимостей в ИС эксплуатируемых в органе, организации, по решению органа (организации) в случае отсутствия соответствующих результатов тестирования в БДУ ФСТЭК России.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При наличии соответствующих сведений могут быть использованы компенсирующие меры защиты информации, представленные в бюллетенях безопасности разработчиков программных, программно-аппаратных средств, а также в описаниях уязвимостей, опубликованных в БДУ ФСТЭК России. 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Рекомендуемые сроки устранения уязвимостей: 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критический уровень опасности до 24 часов; 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высокий уровень опасности – до 7 дней; 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средний уровень опасности – до 4 недель; 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>низкий уровень опасности – до 4 месяцев.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рамках выполнения подпроцесса разработки и реализации компенсирующих мер защиты информации выполняются операции, приведенные в таблице 4.3.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Таблица 4.3.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2553"/>
        <w:gridCol w:w="6655"/>
      </w:tblGrid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операции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Описание операции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Определение мер защиты информации и ответственных за их реализацию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Определение компенсирующих мер защиты информации, необходимых для нейтрализации уязвимости либо снижения возможных негативных последствий от ее эксплуатации. В ходе выполнения данной операции должны быть определены работники, участие которых необходимо для реализации выбранных компенсирующих мер защиты информации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Согласование привлечения работников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случае необходимости привлечения работников других подразделений для реализации компенсирующих мер защиты информации руководитель подразделения защиты согласует их привлечение с руководителями соответствующих подразделений</w:t>
            </w:r>
          </w:p>
        </w:tc>
      </w:tr>
      <w:tr w:rsidR="00895873">
        <w:trPr>
          <w:trHeight w:val="181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Реализация организационных мер защиты информации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16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Реализация организационных мер защиты информации предусматривает: ограничение использования ИТ-инфраструктуры; организация режима охраны (в частности, ограничение доступа к техническим средствам); информирование и обучение персонала органа (организации)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Настройка средств защиты информации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  <w:tab w:val="left" w:pos="171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Оценка возможности реализации компенсирующих мер с использованием средств защиты информации, выбор средств защиты информации (при необходимости). Выполнение работ по настройке средств защиты информации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анализа событий безопасности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постоянного наблюдения и анализа результатов регистрации событий безопасности и иных данных с целью выявления и блокирования попыток эксплуатации уязвимости</w:t>
            </w:r>
          </w:p>
        </w:tc>
      </w:tr>
      <w:tr w:rsidR="0089587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Внесение изменений в ИТ-инфраструктуру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873" w:rsidRDefault="008F0520" w:rsidP="00972AA8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Внесение изменений в ИТ-инфраструктуру включает действия по внесению изменений в конфигурации программных и программно-аппаратных средств (в том числе, удаление (выведение из эксплуатации))</w:t>
            </w:r>
          </w:p>
        </w:tc>
      </w:tr>
    </w:tbl>
    <w:p w:rsidR="00895873" w:rsidRDefault="008F0520" w:rsidP="00972AA8">
      <w:pPr>
        <w:suppressAutoHyphens/>
        <w:autoSpaceDN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На основе таблиц 4.2 и 4.3. в органе (организации) должно разрабатываться детальное описание операций, включающее наименование операций, описание операций, исполнителей, продолжительность, входные и выходные данные. 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Детальное описание операций включается в организационно-распорядительные документы по защите информации органа (организации).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случае невозможности получения, установки и тестирования обновлений программных, программно-аппаратных средств принимаются компенсирующие меры защиты информации.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Выбор компенсирующих мер по защите информации осуществляется оператором с учетом архитектуры и особенностей функционирования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, а также способов эксплуатации уязвимостей программных, программно-аппаратных средств. </w:t>
      </w:r>
    </w:p>
    <w:p w:rsidR="00895873" w:rsidRDefault="008F0520" w:rsidP="00972AA8">
      <w:pPr>
        <w:keepNext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Компенсирующими организационными и техническими мерами, направленными на предотвращение возможности эксплуатации уязвимостей, могут являться: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изменение конфигурации уязвимых компонентов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sz w:val="28"/>
          <w:lang w:eastAsia="ru-RU"/>
        </w:rPr>
        <w:t>, в том числе в части предоставления доступа к их функциям, исполнение которых может способствовать эксплуатации выявленных уязвимостей;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>ограничение по использованию уязвимых программных, программно-аппаратных средств или их перевод в режим функционирования, ограничивающий исполнение функций, обращение к которым связано</w:t>
      </w:r>
      <w:r>
        <w:rPr>
          <w:rFonts w:ascii="Times New Roman" w:eastAsia="Times New Roman" w:hAnsi="Times New Roman" w:cs="Times New Roman"/>
          <w:sz w:val="28"/>
          <w:lang w:eastAsia="ru-RU"/>
        </w:rPr>
        <w:br/>
        <w:t>с использованием выявленных уязвимостей (например, отключение уязвимых служб и сетевых протоколов);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резервирование компонентов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sz w:val="28"/>
          <w:lang w:eastAsia="ru-RU"/>
        </w:rPr>
        <w:t>, включая резервирование серверов, телекоммуникационного оборудования и каналов связи;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использование сигнатур, решающих правил средств защиты информации, обеспечивающих выявление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 </w:t>
      </w:r>
      <w:r>
        <w:rPr>
          <w:rFonts w:ascii="Times New Roman" w:eastAsia="Times New Roman" w:hAnsi="Times New Roman" w:cs="Times New Roman"/>
          <w:sz w:val="28"/>
          <w:lang w:eastAsia="ru-RU"/>
        </w:rPr>
        <w:t>признаков эксплуатации уязвимостей;</w:t>
      </w:r>
    </w:p>
    <w:p w:rsidR="00895873" w:rsidRDefault="008F0520" w:rsidP="00972AA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мониторинг информационной безопасности и выявление событий безопасности информации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sz w:val="28"/>
          <w:lang w:eastAsia="ru-RU"/>
        </w:rPr>
        <w:t>, связанных с возможностью эксплуатации уязвимостей.</w:t>
      </w:r>
    </w:p>
    <w:p w:rsidR="00895873" w:rsidRDefault="00895873" w:rsidP="00972AA8">
      <w:pPr>
        <w:spacing w:line="240" w:lineRule="auto"/>
      </w:pPr>
    </w:p>
    <w:sectPr w:rsidR="00895873" w:rsidSect="008870EE">
      <w:footerReference w:type="default" r:id="rId8"/>
      <w:pgSz w:w="11906" w:h="16838"/>
      <w:pgMar w:top="426" w:right="709" w:bottom="993" w:left="141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01" w:rsidRDefault="00575901">
      <w:pPr>
        <w:spacing w:after="0" w:line="240" w:lineRule="auto"/>
      </w:pPr>
      <w:r>
        <w:separator/>
      </w:r>
    </w:p>
  </w:endnote>
  <w:endnote w:type="continuationSeparator" w:id="0">
    <w:p w:rsidR="00575901" w:rsidRDefault="0057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873" w:rsidRDefault="008F0520">
    <w:pPr>
      <w:pStyle w:val="a3"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</w:instrText>
    </w:r>
    <w:r>
      <w:rPr>
        <w:rFonts w:ascii="Times New Roman" w:hAnsi="Times New Roman"/>
        <w:sz w:val="24"/>
      </w:rPr>
      <w:fldChar w:fldCharType="separate"/>
    </w:r>
    <w:r w:rsidR="00942133">
      <w:rPr>
        <w:rFonts w:ascii="Times New Roman" w:hAnsi="Times New Roman"/>
        <w:noProof/>
        <w:sz w:val="24"/>
      </w:rPr>
      <w:t>1</w:t>
    </w:r>
    <w:r>
      <w:rPr>
        <w:rFonts w:ascii="Times New Roman" w:hAnsi="Times New Roman"/>
        <w:sz w:val="24"/>
      </w:rPr>
      <w:fldChar w:fldCharType="end"/>
    </w:r>
  </w:p>
  <w:p w:rsidR="00895873" w:rsidRDefault="008958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01" w:rsidRDefault="00575901">
      <w:pPr>
        <w:spacing w:after="0" w:line="240" w:lineRule="auto"/>
      </w:pPr>
      <w:r>
        <w:separator/>
      </w:r>
    </w:p>
  </w:footnote>
  <w:footnote w:type="continuationSeparator" w:id="0">
    <w:p w:rsidR="00575901" w:rsidRDefault="00575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BCC"/>
    <w:multiLevelType w:val="multilevel"/>
    <w:tmpl w:val="9E0473CC"/>
    <w:styleLink w:val="WWOutlineListStyle7"/>
    <w:lvl w:ilvl="0">
      <w:start w:val="1"/>
      <w:numFmt w:val="decimal"/>
      <w:pStyle w:val="1"/>
      <w:lvlText w:val="%1."/>
      <w:lvlJc w:val="left"/>
      <w:pPr>
        <w:ind w:left="568" w:firstLine="0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710" w:firstLine="0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680" w:firstLine="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680" w:firstLine="0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680" w:firstLine="0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680" w:firstLine="0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680" w:firstLine="0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680" w:firstLine="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680" w:firstLine="0"/>
      </w:pPr>
      <w:rPr>
        <w:rFonts w:cs="Times New Roman"/>
      </w:rPr>
    </w:lvl>
  </w:abstractNum>
  <w:abstractNum w:abstractNumId="1" w15:restartNumberingAfterBreak="0">
    <w:nsid w:val="141F176E"/>
    <w:multiLevelType w:val="hybridMultilevel"/>
    <w:tmpl w:val="D792B180"/>
    <w:lvl w:ilvl="0" w:tplc="018259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3B3CC1"/>
    <w:multiLevelType w:val="multilevel"/>
    <w:tmpl w:val="DE18BD38"/>
    <w:styleLink w:val="WWOutlineListStyle4"/>
    <w:lvl w:ilvl="0">
      <w:start w:val="1"/>
      <w:numFmt w:val="decimal"/>
      <w:lvlText w:val="%1."/>
      <w:lvlJc w:val="left"/>
      <w:pPr>
        <w:ind w:left="568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6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6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68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8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80" w:firstLine="0"/>
      </w:pPr>
      <w:rPr>
        <w:rFonts w:cs="Times New Roman"/>
      </w:rPr>
    </w:lvl>
  </w:abstractNum>
  <w:abstractNum w:abstractNumId="3" w15:restartNumberingAfterBreak="0">
    <w:nsid w:val="6B561BA5"/>
    <w:multiLevelType w:val="multilevel"/>
    <w:tmpl w:val="8B5E224E"/>
    <w:styleLink w:val="WWOutlineListStyle6"/>
    <w:lvl w:ilvl="0">
      <w:start w:val="1"/>
      <w:numFmt w:val="decimal"/>
      <w:lvlText w:val="%1."/>
      <w:lvlJc w:val="left"/>
      <w:pPr>
        <w:ind w:left="568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6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6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68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8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80" w:firstLine="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ind w:left="568" w:firstLine="0"/>
        </w:pPr>
        <w:rPr>
          <w:rFonts w:cs="Times New Roman"/>
        </w:rPr>
      </w:lvl>
    </w:lvlOverride>
  </w:num>
  <w:num w:numId="5">
    <w:abstractNumId w:val="2"/>
    <w:lvlOverride w:ilvl="0">
      <w:startOverride w:val="2"/>
    </w:lvlOverride>
  </w:num>
  <w:num w:numId="6">
    <w:abstractNumId w:val="3"/>
    <w:lvlOverride w:ilvl="0">
      <w:startOverride w:val="2"/>
    </w:lvlOverride>
  </w:num>
  <w:num w:numId="7">
    <w:abstractNumId w:val="0"/>
    <w:lvlOverride w:ilvl="0">
      <w:startOverride w:val="2"/>
    </w:lvlOverride>
  </w:num>
  <w:num w:numId="8">
    <w:abstractNumId w:val="0"/>
    <w:lvlOverride w:ilvl="0">
      <w:startOverride w:val="2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73"/>
    <w:rsid w:val="000907B3"/>
    <w:rsid w:val="00313147"/>
    <w:rsid w:val="00575901"/>
    <w:rsid w:val="005F6E25"/>
    <w:rsid w:val="007B191B"/>
    <w:rsid w:val="007D5A01"/>
    <w:rsid w:val="008870EE"/>
    <w:rsid w:val="00895873"/>
    <w:rsid w:val="00897BFF"/>
    <w:rsid w:val="008F0520"/>
    <w:rsid w:val="00942133"/>
    <w:rsid w:val="00972AA8"/>
    <w:rsid w:val="00C84017"/>
    <w:rsid w:val="00F0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B057"/>
  <w15:docId w15:val="{4DFF8E26-40FD-46BA-BB35-EA8411B8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pPr>
      <w:keepNext/>
      <w:keepLines/>
      <w:numPr>
        <w:numId w:val="1"/>
      </w:numPr>
      <w:suppressAutoHyphens/>
      <w:autoSpaceDN w:val="0"/>
      <w:spacing w:after="360" w:line="288" w:lineRule="auto"/>
      <w:ind w:right="567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styleId="2">
    <w:name w:val="heading 2"/>
    <w:basedOn w:val="a"/>
    <w:link w:val="20"/>
    <w:pPr>
      <w:keepNext/>
      <w:keepLines/>
      <w:numPr>
        <w:ilvl w:val="1"/>
        <w:numId w:val="1"/>
      </w:numPr>
      <w:suppressAutoHyphens/>
      <w:autoSpaceDN w:val="0"/>
      <w:spacing w:after="120" w:line="288" w:lineRule="auto"/>
      <w:ind w:right="567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kern w:val="3"/>
      <w:sz w:val="28"/>
      <w:szCs w:val="24"/>
      <w:lang w:eastAsia="ru-RU"/>
    </w:rPr>
  </w:style>
  <w:style w:type="paragraph" w:styleId="3">
    <w:name w:val="heading 3"/>
    <w:basedOn w:val="a"/>
    <w:link w:val="30"/>
    <w:pPr>
      <w:keepNext/>
      <w:keepLines/>
      <w:numPr>
        <w:ilvl w:val="2"/>
        <w:numId w:val="1"/>
      </w:numPr>
      <w:suppressAutoHyphens/>
      <w:autoSpaceDN w:val="0"/>
      <w:spacing w:after="240" w:line="288" w:lineRule="auto"/>
      <w:ind w:right="567"/>
      <w:textAlignment w:val="baseline"/>
      <w:outlineLvl w:val="2"/>
    </w:pPr>
    <w:rPr>
      <w:rFonts w:ascii="Arial" w:eastAsia="Times New Roman" w:hAnsi="Arial" w:cs="Times New Roman"/>
      <w:b/>
      <w:bCs/>
      <w:kern w:val="3"/>
      <w:sz w:val="24"/>
      <w:szCs w:val="24"/>
      <w:lang w:eastAsia="ru-RU"/>
    </w:rPr>
  </w:style>
  <w:style w:type="paragraph" w:styleId="4">
    <w:name w:val="heading 4"/>
    <w:basedOn w:val="a"/>
    <w:link w:val="40"/>
    <w:pPr>
      <w:keepNext/>
      <w:keepLines/>
      <w:numPr>
        <w:ilvl w:val="3"/>
        <w:numId w:val="1"/>
      </w:numPr>
      <w:suppressAutoHyphens/>
      <w:autoSpaceDN w:val="0"/>
      <w:spacing w:after="120" w:line="288" w:lineRule="auto"/>
      <w:ind w:right="567"/>
      <w:textAlignment w:val="baseline"/>
      <w:outlineLvl w:val="3"/>
    </w:pPr>
    <w:rPr>
      <w:rFonts w:ascii="Arial" w:eastAsia="Times New Roman" w:hAnsi="Arial" w:cs="Times New Roman"/>
      <w:b/>
      <w:bCs/>
      <w:kern w:val="3"/>
      <w:sz w:val="24"/>
      <w:szCs w:val="28"/>
      <w:lang w:eastAsia="ru-RU"/>
    </w:rPr>
  </w:style>
  <w:style w:type="paragraph" w:styleId="5">
    <w:name w:val="heading 5"/>
    <w:basedOn w:val="a"/>
    <w:link w:val="50"/>
    <w:pPr>
      <w:keepNext/>
      <w:keepLines/>
      <w:numPr>
        <w:ilvl w:val="4"/>
        <w:numId w:val="1"/>
      </w:numPr>
      <w:suppressAutoHyphens/>
      <w:autoSpaceDN w:val="0"/>
      <w:spacing w:after="240" w:line="288" w:lineRule="auto"/>
      <w:ind w:right="567"/>
      <w:textAlignment w:val="baseline"/>
      <w:outlineLvl w:val="4"/>
    </w:pPr>
    <w:rPr>
      <w:rFonts w:ascii="Arial" w:eastAsia="Times New Roman" w:hAnsi="Arial" w:cs="Times New Roman"/>
      <w:b/>
      <w:bCs/>
      <w:iCs/>
      <w:kern w:val="3"/>
      <w:sz w:val="24"/>
      <w:szCs w:val="26"/>
      <w:lang w:eastAsia="ru-RU"/>
    </w:rPr>
  </w:style>
  <w:style w:type="paragraph" w:styleId="6">
    <w:name w:val="heading 6"/>
    <w:basedOn w:val="a"/>
    <w:link w:val="60"/>
    <w:pPr>
      <w:keepNext/>
      <w:keepLines/>
      <w:numPr>
        <w:ilvl w:val="5"/>
        <w:numId w:val="1"/>
      </w:numPr>
      <w:suppressAutoHyphens/>
      <w:autoSpaceDN w:val="0"/>
      <w:spacing w:after="240" w:line="288" w:lineRule="auto"/>
      <w:ind w:right="567"/>
      <w:textAlignment w:val="baseline"/>
      <w:outlineLvl w:val="5"/>
    </w:pPr>
    <w:rPr>
      <w:rFonts w:ascii="Arial" w:eastAsia="Times New Roman" w:hAnsi="Arial" w:cs="Times New Roman"/>
      <w:b/>
      <w:bCs/>
      <w:kern w:val="3"/>
      <w:sz w:val="24"/>
      <w:szCs w:val="20"/>
      <w:lang w:eastAsia="ru-RU"/>
    </w:rPr>
  </w:style>
  <w:style w:type="paragraph" w:styleId="7">
    <w:name w:val="heading 7"/>
    <w:basedOn w:val="a"/>
    <w:link w:val="70"/>
    <w:pPr>
      <w:keepNext/>
      <w:keepLines/>
      <w:numPr>
        <w:ilvl w:val="6"/>
        <w:numId w:val="1"/>
      </w:numPr>
      <w:suppressAutoHyphens/>
      <w:autoSpaceDN w:val="0"/>
      <w:spacing w:after="240" w:line="288" w:lineRule="auto"/>
      <w:ind w:right="567"/>
      <w:textAlignment w:val="baseline"/>
      <w:outlineLvl w:val="6"/>
    </w:pPr>
    <w:rPr>
      <w:rFonts w:ascii="Arial" w:eastAsia="Times New Roman" w:hAnsi="Arial" w:cs="Times New Roman"/>
      <w:b/>
      <w:kern w:val="3"/>
      <w:sz w:val="24"/>
      <w:szCs w:val="24"/>
      <w:lang w:eastAsia="ru-RU"/>
    </w:rPr>
  </w:style>
  <w:style w:type="paragraph" w:styleId="8">
    <w:name w:val="heading 8"/>
    <w:basedOn w:val="a"/>
    <w:link w:val="80"/>
    <w:pPr>
      <w:keepNext/>
      <w:keepLines/>
      <w:numPr>
        <w:ilvl w:val="7"/>
        <w:numId w:val="1"/>
      </w:numPr>
      <w:suppressAutoHyphens/>
      <w:autoSpaceDN w:val="0"/>
      <w:spacing w:after="240" w:line="288" w:lineRule="auto"/>
      <w:ind w:right="567"/>
      <w:textAlignment w:val="baseline"/>
      <w:outlineLvl w:val="7"/>
    </w:pPr>
    <w:rPr>
      <w:rFonts w:ascii="Arial" w:eastAsia="Times New Roman" w:hAnsi="Arial" w:cs="Times New Roman"/>
      <w:b/>
      <w:iCs/>
      <w:kern w:val="3"/>
      <w:sz w:val="24"/>
      <w:szCs w:val="24"/>
      <w:lang w:eastAsia="ru-RU"/>
    </w:rPr>
  </w:style>
  <w:style w:type="paragraph" w:styleId="9">
    <w:name w:val="heading 9"/>
    <w:basedOn w:val="a"/>
    <w:link w:val="90"/>
    <w:pPr>
      <w:keepNext/>
      <w:keepLines/>
      <w:numPr>
        <w:ilvl w:val="8"/>
        <w:numId w:val="1"/>
      </w:numPr>
      <w:suppressAutoHyphens/>
      <w:autoSpaceDN w:val="0"/>
      <w:spacing w:after="240" w:line="288" w:lineRule="auto"/>
      <w:ind w:right="567"/>
      <w:textAlignment w:val="baseline"/>
      <w:outlineLvl w:val="8"/>
    </w:pPr>
    <w:rPr>
      <w:rFonts w:ascii="Arial" w:eastAsia="Times New Roman" w:hAnsi="Arial" w:cs="Times New Roman"/>
      <w:kern w:val="3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kern w:val="3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bCs/>
      <w:kern w:val="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bCs/>
      <w:kern w:val="3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bCs/>
      <w:iCs/>
      <w:kern w:val="3"/>
      <w:sz w:val="24"/>
      <w:szCs w:val="26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b/>
      <w:bCs/>
      <w:kern w:val="3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b/>
      <w:kern w:val="3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Pr>
      <w:rFonts w:ascii="Arial" w:eastAsia="Times New Roman" w:hAnsi="Arial" w:cs="Times New Roman"/>
      <w:b/>
      <w:iCs/>
      <w:kern w:val="3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Pr>
      <w:rFonts w:ascii="Arial" w:eastAsia="Times New Roman" w:hAnsi="Arial" w:cs="Times New Roman"/>
      <w:kern w:val="3"/>
      <w:sz w:val="24"/>
      <w:szCs w:val="20"/>
      <w:lang w:eastAsia="ru-RU"/>
    </w:rPr>
  </w:style>
  <w:style w:type="numbering" w:customStyle="1" w:styleId="WWOutlineListStyle7">
    <w:name w:val="WW_OutlineListStyle_7"/>
    <w:basedOn w:val="a2"/>
    <w:pPr>
      <w:numPr>
        <w:numId w:val="1"/>
      </w:numPr>
    </w:p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rPr>
      <w:rFonts w:ascii="Calibri" w:eastAsia="Times New Roman" w:hAnsi="Calibri" w:cs="Times New Roman"/>
      <w:lang w:eastAsia="ru-RU"/>
    </w:rPr>
  </w:style>
  <w:style w:type="numbering" w:customStyle="1" w:styleId="WWOutlineListStyle6">
    <w:name w:val="WW_OutlineListStyle_6"/>
    <w:basedOn w:val="a2"/>
    <w:pPr>
      <w:numPr>
        <w:numId w:val="2"/>
      </w:numPr>
    </w:pPr>
  </w:style>
  <w:style w:type="numbering" w:customStyle="1" w:styleId="WWOutlineListStyle4">
    <w:name w:val="WW_OutlineListStyle_4"/>
    <w:basedOn w:val="a2"/>
    <w:pPr>
      <w:numPr>
        <w:numId w:val="3"/>
      </w:numPr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TOC Heading"/>
    <w:basedOn w:val="1"/>
    <w:next w:val="a"/>
    <w:uiPriority w:val="39"/>
    <w:unhideWhenUsed/>
    <w:qFormat/>
    <w:pPr>
      <w:numPr>
        <w:numId w:val="0"/>
      </w:numPr>
      <w:suppressAutoHyphens w:val="0"/>
      <w:autoSpaceDN/>
      <w:spacing w:before="240" w:after="0" w:line="259" w:lineRule="auto"/>
      <w:ind w:righ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pPr>
      <w:spacing w:after="100"/>
    </w:p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D5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5A01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887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87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8870E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ac">
    <w:name w:val="Мой Основной текст"/>
    <w:basedOn w:val="a"/>
    <w:rsid w:val="008870EE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Arial" w:eastAsia="Times New Roman" w:hAnsi="Arial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249B8-10B3-408B-B787-15357F02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Nikolay.Apaev</dc:creator>
  <cp:lastModifiedBy>USER</cp:lastModifiedBy>
  <cp:revision>12</cp:revision>
  <dcterms:created xsi:type="dcterms:W3CDTF">2023-06-16T11:14:00Z</dcterms:created>
  <dcterms:modified xsi:type="dcterms:W3CDTF">2023-06-20T07:29:00Z</dcterms:modified>
</cp:coreProperties>
</file>