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0E" w:rsidRDefault="00D8290E" w:rsidP="00D8290E">
      <w:pPr>
        <w:overflowPunct w:val="0"/>
        <w:autoSpaceDE w:val="0"/>
        <w:autoSpaceDN w:val="0"/>
        <w:adjustRightInd w:val="0"/>
        <w:ind w:right="221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b/>
        </w:rPr>
        <w:t>ПРОЕКТ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F27FDB" w:rsidRDefault="00F27FDB" w:rsidP="00F27FDB">
      <w:pPr>
        <w:spacing w:after="0"/>
        <w:jc w:val="center"/>
        <w:rPr>
          <w:rFonts w:ascii="Times New Roman" w:hAnsi="Times New Roman"/>
          <w:sz w:val="26"/>
        </w:rPr>
      </w:pPr>
    </w:p>
    <w:p w:rsidR="00F27FDB" w:rsidRDefault="00F27FDB" w:rsidP="00F27FD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F27FDB" w:rsidRDefault="00F27FDB" w:rsidP="00F27F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№ </w:t>
      </w:r>
      <w:r w:rsidR="00D8290E">
        <w:rPr>
          <w:rFonts w:ascii="Arial" w:hAnsi="Arial" w:cs="Arial"/>
          <w:sz w:val="24"/>
          <w:szCs w:val="24"/>
        </w:rPr>
        <w:t xml:space="preserve"> </w:t>
      </w:r>
    </w:p>
    <w:p w:rsidR="00F27FDB" w:rsidRDefault="00F27FDB" w:rsidP="00F27FDB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 Постановление</w:t>
      </w:r>
    </w:p>
    <w:p w:rsidR="00F27FDB" w:rsidRDefault="00F27FDB" w:rsidP="00F27FDB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Исполнительного комитета 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p w:rsidR="00F27FDB" w:rsidRDefault="00F27FDB" w:rsidP="00F27FDB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 поселения  Аксубаевского </w:t>
      </w:r>
    </w:p>
    <w:p w:rsidR="00F27FDB" w:rsidRDefault="00F27FDB" w:rsidP="00F27FDB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</w:p>
    <w:p w:rsidR="00F27FDB" w:rsidRDefault="00F27FDB" w:rsidP="00F27FDB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28.10.2015 г № 16 «Об утверждении Программы </w:t>
      </w:r>
    </w:p>
    <w:p w:rsidR="00F27FDB" w:rsidRDefault="00F27FDB" w:rsidP="00F27FDB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комплексное развитие систем коммунальной инфраструктуры  </w:t>
      </w:r>
    </w:p>
    <w:p w:rsidR="00F27FDB" w:rsidRDefault="00F27FDB" w:rsidP="00F27FDB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</w:p>
    <w:p w:rsidR="00F27FDB" w:rsidRDefault="00F27FDB" w:rsidP="00F27FDB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  РТ" в редакции № 13 от 12.12.2019</w:t>
      </w:r>
    </w:p>
    <w:p w:rsidR="00F27FDB" w:rsidRDefault="00F27FDB" w:rsidP="00F27FDB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F27FDB" w:rsidRDefault="00F27FDB" w:rsidP="00F27FDB">
      <w:pPr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целях разработки комплекса мероприятий, направленных на повышение надежности, эффективности и </w:t>
      </w:r>
      <w:proofErr w:type="spellStart"/>
      <w:r>
        <w:rPr>
          <w:rFonts w:ascii="Arial" w:hAnsi="Arial" w:cs="Arial"/>
          <w:sz w:val="24"/>
          <w:szCs w:val="24"/>
        </w:rPr>
        <w:t>экологичности</w:t>
      </w:r>
      <w:proofErr w:type="spellEnd"/>
      <w:r>
        <w:rPr>
          <w:rFonts w:ascii="Arial" w:hAnsi="Arial" w:cs="Arial"/>
          <w:sz w:val="24"/>
          <w:szCs w:val="24"/>
        </w:rPr>
        <w:t xml:space="preserve"> работы объектов коммунальной инфраструктуры, расположенных на территории 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 поселения Аксубаевского муниципального района Республики Татарстан, руководствуясь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Татарстан,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Исполнительный комитет 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 поселения Аксубаевского муниципального района Республики Татарстан ПОСТАНОВЛЯЕТ:</w:t>
      </w:r>
    </w:p>
    <w:p w:rsidR="00F27FDB" w:rsidRDefault="00F27FDB" w:rsidP="00F27FDB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1. Внести  в постановление Исполнительного комитета 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 поселения  Аксубаевского муниципального района Республики Татарстан от 28.10.2015 г № 16 «Об утверждении Программы комплексное развитие систем коммунальной инфраструктуры 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РТ" изменения, изложив муниципальную целевую программу «Комплексное развитие систем коммунальной инфраструктуры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на 2015-2024 годы» в редакции № 13 от 12.12.2019  </w:t>
      </w:r>
      <w:r>
        <w:rPr>
          <w:rFonts w:ascii="Arial" w:hAnsi="Arial" w:cs="Arial"/>
          <w:bCs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прилагаемой редакции.</w:t>
      </w:r>
      <w:r>
        <w:rPr>
          <w:rFonts w:ascii="Arial" w:hAnsi="Arial" w:cs="Arial"/>
          <w:sz w:val="24"/>
          <w:szCs w:val="24"/>
        </w:rPr>
        <w:tab/>
      </w:r>
    </w:p>
    <w:p w:rsidR="00F27FDB" w:rsidRDefault="00F27FDB" w:rsidP="00F27FDB">
      <w:pPr>
        <w:spacing w:after="0" w:line="240" w:lineRule="auto"/>
        <w:ind w:left="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3.Разместить настоящее </w:t>
      </w:r>
      <w:proofErr w:type="gramStart"/>
      <w:r>
        <w:rPr>
          <w:rFonts w:ascii="Arial" w:hAnsi="Arial" w:cs="Arial"/>
          <w:sz w:val="24"/>
          <w:szCs w:val="24"/>
        </w:rPr>
        <w:t>постановление  на</w:t>
      </w:r>
      <w:proofErr w:type="gramEnd"/>
      <w:r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5" w:history="1">
        <w:r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>
        <w:rPr>
          <w:rFonts w:ascii="Arial" w:hAnsi="Arial" w:cs="Arial"/>
          <w:sz w:val="24"/>
          <w:szCs w:val="24"/>
        </w:rPr>
        <w:t>httр</w:t>
      </w:r>
      <w:proofErr w:type="spellEnd"/>
      <w:r>
        <w:rPr>
          <w:rFonts w:ascii="Arial" w:hAnsi="Arial" w:cs="Arial"/>
          <w:sz w:val="24"/>
          <w:szCs w:val="24"/>
        </w:rPr>
        <w:t>://pravo.tatarstan.ru).</w:t>
      </w:r>
    </w:p>
    <w:p w:rsidR="00F27FDB" w:rsidRDefault="00F27FDB" w:rsidP="00D8290E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F27FDB" w:rsidRDefault="00F27FDB" w:rsidP="00F27F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F27FDB" w:rsidRDefault="00F27FDB" w:rsidP="00F27F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27FDB" w:rsidRDefault="00F27FDB" w:rsidP="00F27F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27FDB" w:rsidRDefault="00F27FDB" w:rsidP="00F27F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                                                                          Т.В. Зюзина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</w:p>
    <w:p w:rsidR="00F27FDB" w:rsidRDefault="00F27FDB" w:rsidP="00F27FDB">
      <w:pPr>
        <w:rPr>
          <w:rFonts w:ascii="Arial" w:eastAsia="Calibri" w:hAnsi="Arial" w:cs="Arial"/>
          <w:color w:val="FF0000"/>
          <w:sz w:val="24"/>
          <w:szCs w:val="24"/>
        </w:rPr>
      </w:pPr>
    </w:p>
    <w:p w:rsidR="00F27FDB" w:rsidRDefault="00F27FDB" w:rsidP="00F27FDB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F27FDB" w:rsidRDefault="00F27FDB" w:rsidP="00F27FDB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F27FDB" w:rsidRDefault="00F27FDB" w:rsidP="00F27FDB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F27FDB" w:rsidRDefault="00F27FDB" w:rsidP="00F27FDB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:rsidR="00F27FDB" w:rsidRDefault="00F27FDB" w:rsidP="00F27FDB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 к постановлению</w:t>
      </w:r>
    </w:p>
    <w:p w:rsidR="00F27FDB" w:rsidRDefault="00F27FDB" w:rsidP="00F27FDB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Исполнительного  комитета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F27FDB" w:rsidRDefault="00F27FDB" w:rsidP="00F27FDB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Аксубаевского </w:t>
      </w:r>
    </w:p>
    <w:p w:rsidR="00F27FDB" w:rsidRDefault="00F27FDB" w:rsidP="00F27FDB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муниципального  района Республики Татарстан</w:t>
      </w:r>
    </w:p>
    <w:p w:rsidR="00F27FDB" w:rsidRDefault="00F27FDB" w:rsidP="00F27FDB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</w:t>
      </w:r>
      <w:r w:rsidR="00D8290E">
        <w:rPr>
          <w:rFonts w:ascii="Arial" w:hAnsi="Arial" w:cs="Arial"/>
          <w:sz w:val="24"/>
          <w:szCs w:val="24"/>
        </w:rPr>
        <w:t xml:space="preserve"> </w:t>
      </w:r>
    </w:p>
    <w:p w:rsidR="00F27FDB" w:rsidRDefault="00F27FDB" w:rsidP="00F27F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ДОЛГОСРОЧНАЯ  МУНИЦИПАЛЬНАЯ ЦЕЛЕВАЯ ПРОГРАММА</w:t>
      </w:r>
    </w:p>
    <w:p w:rsidR="00F27FDB" w:rsidRDefault="00F27FDB" w:rsidP="00F27FD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«Комплексное развитие систем коммунальной инфраструктуры </w:t>
      </w:r>
    </w:p>
    <w:p w:rsidR="00F27FDB" w:rsidRDefault="00F27FDB" w:rsidP="00F27FD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сельского поселения Аксубаевского муниципального района Республики Татарстан на 2015-2026 годы»</w:t>
      </w: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п. </w:t>
      </w:r>
      <w:proofErr w:type="spellStart"/>
      <w:r>
        <w:rPr>
          <w:rFonts w:ascii="Arial" w:hAnsi="Arial" w:cs="Arial"/>
          <w:sz w:val="24"/>
          <w:szCs w:val="24"/>
        </w:rPr>
        <w:t>Мюд</w:t>
      </w:r>
      <w:proofErr w:type="spellEnd"/>
    </w:p>
    <w:p w:rsidR="00F27FDB" w:rsidRDefault="00F27FDB" w:rsidP="00F27FDB">
      <w:pPr>
        <w:jc w:val="center"/>
        <w:rPr>
          <w:rFonts w:ascii="Arial" w:hAnsi="Arial" w:cs="Arial"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sz w:val="24"/>
          <w:szCs w:val="24"/>
        </w:rPr>
      </w:pPr>
    </w:p>
    <w:p w:rsidR="00F27FDB" w:rsidRDefault="00F27FDB" w:rsidP="00F27FDB">
      <w:pPr>
        <w:spacing w:after="0"/>
        <w:jc w:val="center"/>
        <w:rPr>
          <w:rFonts w:ascii="Calibri" w:hAnsi="Calibri" w:cs="Times New Roman"/>
          <w:b/>
        </w:rPr>
      </w:pPr>
      <w:r>
        <w:rPr>
          <w:b/>
        </w:rPr>
        <w:t>ПАСПОРТ</w:t>
      </w:r>
    </w:p>
    <w:p w:rsidR="00F27FDB" w:rsidRDefault="00F27FDB" w:rsidP="00F27FDB">
      <w:pPr>
        <w:spacing w:after="0"/>
        <w:jc w:val="center"/>
        <w:rPr>
          <w:b/>
        </w:rPr>
      </w:pPr>
      <w:r>
        <w:rPr>
          <w:b/>
        </w:rPr>
        <w:t xml:space="preserve">долгосрочной  целевой программы «Комплексное развитие систем коммунальной инфраструктуры </w:t>
      </w:r>
      <w:proofErr w:type="spellStart"/>
      <w:r>
        <w:rPr>
          <w:b/>
        </w:rPr>
        <w:t>Мюдовского</w:t>
      </w:r>
      <w:proofErr w:type="spellEnd"/>
      <w:r>
        <w:rPr>
          <w:b/>
        </w:rPr>
        <w:t xml:space="preserve"> сельского поселения Аксубаевского муниципального  района  Республики Татарстан</w:t>
      </w:r>
    </w:p>
    <w:p w:rsidR="00F27FDB" w:rsidRDefault="00F27FDB" w:rsidP="00F27FDB">
      <w:pPr>
        <w:spacing w:after="0"/>
        <w:jc w:val="center"/>
        <w:rPr>
          <w:b/>
        </w:rPr>
      </w:pPr>
      <w:r>
        <w:rPr>
          <w:b/>
        </w:rPr>
        <w:t>на 2015-2026 годы»</w:t>
      </w:r>
    </w:p>
    <w:p w:rsidR="00F27FDB" w:rsidRDefault="00F27FDB" w:rsidP="00F27FDB">
      <w:pPr>
        <w:spacing w:after="0"/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913"/>
        <w:gridCol w:w="6971"/>
      </w:tblGrid>
      <w:tr w:rsidR="00F27FDB" w:rsidTr="00F27FDB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>
            <w:pPr>
              <w:snapToGrid w:val="0"/>
              <w:spacing w:after="0"/>
              <w:rPr>
                <w:lang w:eastAsia="ar-SA"/>
              </w:rPr>
            </w:pPr>
            <w:r>
              <w:t>Наименование</w:t>
            </w:r>
          </w:p>
          <w:p w:rsidR="00F27FDB" w:rsidRDefault="00F27FDB">
            <w:pPr>
              <w:suppressAutoHyphens/>
              <w:spacing w:after="0"/>
              <w:rPr>
                <w:rFonts w:cs="Times New Roman"/>
                <w:lang w:eastAsia="ar-SA"/>
              </w:rPr>
            </w:pPr>
            <w: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B" w:rsidRDefault="00F27FDB">
            <w:pPr>
              <w:suppressAutoHyphens/>
              <w:snapToGrid w:val="0"/>
              <w:spacing w:after="0"/>
              <w:jc w:val="both"/>
              <w:rPr>
                <w:rFonts w:cs="Times New Roman"/>
                <w:lang w:eastAsia="ar-SA"/>
              </w:rPr>
            </w:pPr>
            <w:r>
              <w:t xml:space="preserve">Долгосрочная программа комплексного развития систем коммунальной инфраструктуры </w:t>
            </w:r>
            <w:proofErr w:type="spellStart"/>
            <w:r>
              <w:t>Мюдовского</w:t>
            </w:r>
            <w:proofErr w:type="spellEnd"/>
            <w:r>
              <w:t xml:space="preserve">  сельского поселения  на 2015-2024 годы (в дальнейшем Программа)</w:t>
            </w:r>
          </w:p>
        </w:tc>
      </w:tr>
      <w:tr w:rsidR="00F27FDB" w:rsidTr="00F27FDB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>
            <w:pPr>
              <w:suppressAutoHyphens/>
              <w:snapToGrid w:val="0"/>
              <w:spacing w:after="0"/>
              <w:rPr>
                <w:rFonts w:cs="Times New Roman"/>
                <w:lang w:eastAsia="ar-SA"/>
              </w:rPr>
            </w:pPr>
            <w: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B" w:rsidRDefault="00F27FDB">
            <w:pPr>
              <w:pStyle w:val="ab"/>
              <w:ind w:firstLine="372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F27FDB" w:rsidRDefault="00F27FDB">
            <w:pPr>
              <w:spacing w:after="0"/>
              <w:ind w:firstLine="372"/>
              <w:jc w:val="both"/>
              <w:rPr>
                <w:rFonts w:ascii="Calibri" w:hAnsi="Calibri"/>
                <w:noProof/>
              </w:rPr>
            </w:pPr>
            <w:r>
              <w:rPr>
                <w:noProof/>
              </w:rPr>
              <w:t xml:space="preserve">Градостроительный кодекс Российской Федерации от 29.12.2004  № 190-ФЗ </w:t>
            </w:r>
          </w:p>
          <w:p w:rsidR="00F27FDB" w:rsidRDefault="00F27FDB">
            <w:pPr>
              <w:spacing w:after="0"/>
              <w:ind w:firstLine="372"/>
              <w:jc w:val="both"/>
              <w:rPr>
                <w:rFonts w:cs="Times New Roman"/>
                <w:lang w:eastAsia="ar-SA"/>
              </w:rPr>
            </w:pPr>
            <w:r>
              <w:rPr>
                <w:noProof/>
              </w:rPr>
              <w:t xml:space="preserve"> </w:t>
            </w:r>
            <w:r>
              <w:t>Устав муниципального образования «</w:t>
            </w:r>
            <w:proofErr w:type="spellStart"/>
            <w:r>
              <w:t>Мюдовское</w:t>
            </w:r>
            <w:proofErr w:type="spellEnd"/>
            <w:r>
              <w:t xml:space="preserve">  сельское  </w:t>
            </w:r>
            <w:r>
              <w:lastRenderedPageBreak/>
              <w:t>поселение»  Аксубаевского муниципального района Республики Татарстан</w:t>
            </w:r>
            <w:r>
              <w:rPr>
                <w:noProof/>
              </w:rPr>
              <w:t xml:space="preserve">            </w:t>
            </w:r>
          </w:p>
        </w:tc>
      </w:tr>
      <w:tr w:rsidR="00F27FDB" w:rsidTr="00F27FDB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>
            <w:pPr>
              <w:suppressAutoHyphens/>
              <w:snapToGrid w:val="0"/>
              <w:spacing w:after="0"/>
              <w:rPr>
                <w:rFonts w:cs="Times New Roman"/>
                <w:lang w:eastAsia="ar-SA"/>
              </w:rPr>
            </w:pPr>
            <w:r>
              <w:lastRenderedPageBreak/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B" w:rsidRDefault="00F27FDB">
            <w:pPr>
              <w:suppressAutoHyphens/>
              <w:snapToGrid w:val="0"/>
              <w:spacing w:after="0"/>
              <w:jc w:val="both"/>
              <w:rPr>
                <w:rFonts w:cs="Times New Roman"/>
                <w:lang w:eastAsia="ar-SA"/>
              </w:rPr>
            </w:pPr>
            <w:r>
              <w:t xml:space="preserve">Исполнительный комитет </w:t>
            </w:r>
            <w:proofErr w:type="spellStart"/>
            <w:r>
              <w:t>Мюдовского</w:t>
            </w:r>
            <w:proofErr w:type="spellEnd"/>
            <w:r>
              <w:t xml:space="preserve">  сельского поселения  Аксубаевского муниципального района Республики Татарстан</w:t>
            </w:r>
          </w:p>
        </w:tc>
      </w:tr>
      <w:tr w:rsidR="00F27FDB" w:rsidTr="00F27FDB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>
            <w:pPr>
              <w:suppressAutoHyphens/>
              <w:snapToGrid w:val="0"/>
              <w:spacing w:after="0"/>
              <w:rPr>
                <w:rFonts w:cs="Times New Roman"/>
                <w:lang w:eastAsia="ar-SA"/>
              </w:rPr>
            </w:pPr>
            <w: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B" w:rsidRDefault="00F27FDB">
            <w:pPr>
              <w:suppressAutoHyphens/>
              <w:snapToGrid w:val="0"/>
              <w:spacing w:after="0"/>
              <w:jc w:val="both"/>
              <w:rPr>
                <w:rFonts w:cs="Times New Roman"/>
                <w:lang w:eastAsia="ar-SA"/>
              </w:rPr>
            </w:pPr>
            <w:r>
              <w:t xml:space="preserve">Исполнительный комитет  </w:t>
            </w:r>
            <w:proofErr w:type="spellStart"/>
            <w:r>
              <w:t>Мюдовского</w:t>
            </w:r>
            <w:proofErr w:type="spellEnd"/>
            <w:r>
              <w:t xml:space="preserve">  сельского поселения Аксубаевского  муниципального района Республики Татарстан </w:t>
            </w:r>
          </w:p>
        </w:tc>
      </w:tr>
      <w:tr w:rsidR="00F27FDB" w:rsidTr="00F27FDB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>
            <w:pPr>
              <w:suppressAutoHyphens/>
              <w:snapToGrid w:val="0"/>
              <w:spacing w:after="0"/>
              <w:rPr>
                <w:rFonts w:cs="Times New Roman"/>
                <w:lang w:eastAsia="ar-SA"/>
              </w:rPr>
            </w:pPr>
            <w: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B" w:rsidRDefault="00F27FDB">
            <w:pPr>
              <w:snapToGrid w:val="0"/>
              <w:spacing w:after="0"/>
              <w:jc w:val="both"/>
              <w:rPr>
                <w:lang w:eastAsia="ar-SA"/>
              </w:rPr>
            </w:pPr>
            <w:r>
              <w:t xml:space="preserve">Восстановление и техническое перевооружение основных фондов коммунального комплекса </w:t>
            </w:r>
            <w:proofErr w:type="spellStart"/>
            <w:r>
              <w:t>Мюдовского</w:t>
            </w:r>
            <w:proofErr w:type="spellEnd"/>
            <w:r>
              <w:t xml:space="preserve">  сельского поселения с целью:</w:t>
            </w:r>
          </w:p>
          <w:p w:rsidR="00F27FDB" w:rsidRDefault="00F27FDB" w:rsidP="00F27FDB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lang w:eastAsia="en-US"/>
              </w:rPr>
            </w:pPr>
            <w:r>
              <w:t>обеспечения доступности для потребителей товаров и услуг организаций коммунального комплекса;</w:t>
            </w:r>
          </w:p>
          <w:p w:rsidR="00F27FDB" w:rsidRDefault="00F27FDB" w:rsidP="00F27FDB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</w:pPr>
            <w:r>
              <w:t>повышения надежности и качества услуг по водоснабжению, проведение мероприятий по модернизации существующих, строительство новых объектов;</w:t>
            </w:r>
          </w:p>
          <w:p w:rsidR="00F27FDB" w:rsidRDefault="00F27FDB" w:rsidP="00F27FDB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</w:pPr>
            <w:r>
              <w:rPr>
                <w:bCs/>
              </w:rPr>
              <w:t>повышение уровня благоустройства и улучшение экологической обстановки</w:t>
            </w:r>
          </w:p>
          <w:p w:rsidR="00F27FDB" w:rsidRDefault="00F27FDB" w:rsidP="00F27FDB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</w:pPr>
            <w:r>
              <w:t>снижение потерь при эксплуатации систем водоснабжения;</w:t>
            </w:r>
          </w:p>
          <w:p w:rsidR="00F27FDB" w:rsidRDefault="00F27FDB" w:rsidP="00F27FDB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cs="Times New Roman"/>
                <w:lang w:eastAsia="ar-SA"/>
              </w:rPr>
            </w:pPr>
            <w:r>
              <w:rPr>
                <w:bCs/>
              </w:rPr>
              <w:t>повышение надежности и эффективности функционирования коммунальных систем жизнеобеспечения населения.</w:t>
            </w:r>
          </w:p>
        </w:tc>
      </w:tr>
      <w:tr w:rsidR="00F27FDB" w:rsidTr="00F27FDB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>
            <w:pPr>
              <w:suppressAutoHyphens/>
              <w:snapToGrid w:val="0"/>
              <w:spacing w:after="0"/>
              <w:rPr>
                <w:rFonts w:cs="Times New Roman"/>
                <w:lang w:eastAsia="ar-SA"/>
              </w:rPr>
            </w:pPr>
            <w:r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B" w:rsidRDefault="00F27FDB">
            <w:pPr>
              <w:suppressAutoHyphens/>
              <w:snapToGrid w:val="0"/>
              <w:spacing w:after="0"/>
              <w:rPr>
                <w:rFonts w:cs="Times New Roman"/>
                <w:lang w:eastAsia="ar-SA"/>
              </w:rPr>
            </w:pPr>
            <w:r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F27FDB" w:rsidTr="00F27FDB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>
            <w:pPr>
              <w:suppressAutoHyphens/>
              <w:snapToGrid w:val="0"/>
              <w:spacing w:after="0"/>
              <w:rPr>
                <w:rFonts w:cs="Times New Roman"/>
                <w:lang w:eastAsia="ar-SA"/>
              </w:rPr>
            </w:pPr>
            <w:r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B" w:rsidRDefault="00F27FDB" w:rsidP="00F27FDB">
            <w:pPr>
              <w:suppressAutoHyphens/>
              <w:snapToGrid w:val="0"/>
              <w:spacing w:after="0"/>
              <w:rPr>
                <w:rFonts w:cs="Times New Roman"/>
                <w:lang w:eastAsia="ar-SA"/>
              </w:rPr>
            </w:pPr>
            <w:r>
              <w:t>Период реализации Программы: 2015-2026 годы</w:t>
            </w:r>
          </w:p>
        </w:tc>
      </w:tr>
      <w:tr w:rsidR="00F27FDB" w:rsidTr="00F27FDB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>
            <w:pPr>
              <w:snapToGrid w:val="0"/>
              <w:spacing w:after="0"/>
              <w:rPr>
                <w:rFonts w:cs="Arial"/>
                <w:lang w:eastAsia="en-US"/>
              </w:rPr>
            </w:pPr>
            <w:r>
              <w:rPr>
                <w:rFonts w:cs="Arial"/>
              </w:rPr>
              <w:t xml:space="preserve"> Объемы и источники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B" w:rsidRDefault="00F27FDB">
            <w:pPr>
              <w:pStyle w:val="ConsPlusNonformat"/>
              <w:widowControl/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общий  объем  финансирования  на  реализацию  Программы составляет 4800,0 тыс. рублей</w:t>
            </w:r>
          </w:p>
          <w:p w:rsidR="00F27FDB" w:rsidRDefault="00F27FDB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2015 год 240,0 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 xml:space="preserve"> тыс. рублей</w:t>
            </w:r>
          </w:p>
          <w:p w:rsidR="00F27FDB" w:rsidRDefault="00F27FDB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2016 год  330,0  тыс. рублей</w:t>
            </w:r>
          </w:p>
          <w:p w:rsidR="00F27FDB" w:rsidRDefault="00F27FDB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2017 год  430,0 тыс. рублей</w:t>
            </w:r>
          </w:p>
          <w:p w:rsidR="00F27FDB" w:rsidRDefault="00F27FDB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2018 год  300</w:t>
            </w:r>
            <w:r>
              <w:rPr>
                <w:rFonts w:cs="Arial"/>
                <w:b/>
              </w:rPr>
              <w:t>,</w:t>
            </w:r>
            <w:r>
              <w:rPr>
                <w:rFonts w:cs="Arial"/>
              </w:rPr>
              <w:t>0 тыс. рублей</w:t>
            </w:r>
          </w:p>
          <w:p w:rsidR="00F27FDB" w:rsidRDefault="00F27FDB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2019 год  400</w:t>
            </w:r>
            <w:r>
              <w:rPr>
                <w:rFonts w:cs="Arial"/>
                <w:b/>
              </w:rPr>
              <w:t>,</w:t>
            </w:r>
            <w:r>
              <w:rPr>
                <w:rFonts w:cs="Arial"/>
              </w:rPr>
              <w:t>0 тыс. рублей</w:t>
            </w:r>
          </w:p>
          <w:p w:rsidR="00F27FDB" w:rsidRDefault="00F27FDB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2020 год  620,0 тыс. рублей</w:t>
            </w:r>
          </w:p>
          <w:p w:rsidR="00F27FDB" w:rsidRDefault="00F27FDB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2021 год  620,0 тыс. рублей</w:t>
            </w:r>
          </w:p>
          <w:p w:rsidR="00F27FDB" w:rsidRDefault="00F27FDB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2022 год  620,0 тыс. рублей</w:t>
            </w:r>
          </w:p>
          <w:p w:rsidR="00F27FDB" w:rsidRDefault="00F27FDB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2023 год  620,0</w:t>
            </w:r>
            <w:r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</w:rPr>
              <w:t>тыс. рублей</w:t>
            </w:r>
          </w:p>
          <w:p w:rsidR="00F27FDB" w:rsidRDefault="0006443D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2024 год  570</w:t>
            </w:r>
            <w:r w:rsidR="00F27FDB">
              <w:rPr>
                <w:rFonts w:cs="Arial"/>
              </w:rPr>
              <w:t>,0 тыс. рублей</w:t>
            </w:r>
          </w:p>
          <w:p w:rsidR="00F27FDB" w:rsidRDefault="00F27FDB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2025 год  </w:t>
            </w:r>
            <w:r w:rsidR="0006443D">
              <w:rPr>
                <w:rFonts w:cs="Arial"/>
              </w:rPr>
              <w:t>570,0</w:t>
            </w:r>
            <w:r>
              <w:rPr>
                <w:rFonts w:cs="Arial"/>
              </w:rPr>
              <w:t xml:space="preserve"> тыс. рублей</w:t>
            </w:r>
          </w:p>
          <w:p w:rsidR="00F27FDB" w:rsidRDefault="00F27FDB">
            <w:p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2026 год  </w:t>
            </w:r>
            <w:r w:rsidR="0006443D">
              <w:rPr>
                <w:rFonts w:cs="Arial"/>
              </w:rPr>
              <w:t>570,0</w:t>
            </w:r>
            <w:r>
              <w:rPr>
                <w:rFonts w:cs="Arial"/>
              </w:rPr>
              <w:t xml:space="preserve"> тыс. рублей</w:t>
            </w:r>
          </w:p>
          <w:p w:rsidR="00F27FDB" w:rsidRDefault="00F27FDB">
            <w:pPr>
              <w:pStyle w:val="ConsPlusNonformat"/>
              <w:widowControl/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софинансирование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 мероприятий</w:t>
            </w:r>
          </w:p>
        </w:tc>
      </w:tr>
      <w:tr w:rsidR="00F27FDB" w:rsidTr="00F27FDB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>
            <w:pPr>
              <w:suppressAutoHyphens/>
              <w:snapToGrid w:val="0"/>
              <w:spacing w:after="0"/>
              <w:rPr>
                <w:rFonts w:cs="Times New Roman"/>
                <w:lang w:eastAsia="ar-SA"/>
              </w:rPr>
            </w:pPr>
            <w:r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B" w:rsidRDefault="00F27FDB">
            <w:pPr>
              <w:snapToGrid w:val="0"/>
              <w:spacing w:after="0"/>
              <w:jc w:val="both"/>
              <w:rPr>
                <w:rFonts w:cs="Times New Roman"/>
                <w:lang w:eastAsia="ar-SA"/>
              </w:rPr>
            </w:pPr>
            <w:r>
              <w:t xml:space="preserve">Повышение надежности функционирования систем коммунальной инфраструктуры и качества коммунальных услуг, предоставляемых населению  </w:t>
            </w:r>
            <w:proofErr w:type="spellStart"/>
            <w:r>
              <w:t>Мюдовского</w:t>
            </w:r>
            <w:proofErr w:type="spellEnd"/>
            <w:r>
              <w:t xml:space="preserve"> сельского поселения Аксубаевского муниципального  района Республики Татарстан</w:t>
            </w:r>
          </w:p>
        </w:tc>
      </w:tr>
      <w:tr w:rsidR="00F27FDB" w:rsidTr="00F27FDB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>
            <w:pPr>
              <w:suppressAutoHyphens/>
              <w:snapToGrid w:val="0"/>
              <w:spacing w:after="0"/>
              <w:rPr>
                <w:rFonts w:cs="Times New Roman"/>
                <w:lang w:eastAsia="ar-SA"/>
              </w:rPr>
            </w:pPr>
            <w:r>
              <w:t>Система контроля за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B" w:rsidRDefault="00F27FDB">
            <w:pPr>
              <w:suppressAutoHyphens/>
              <w:snapToGrid w:val="0"/>
              <w:spacing w:after="0"/>
              <w:jc w:val="both"/>
              <w:rPr>
                <w:rFonts w:cs="Times New Roman"/>
                <w:lang w:eastAsia="ar-SA"/>
              </w:rPr>
            </w:pPr>
            <w:r>
              <w:t xml:space="preserve">Контроль выполнения Программы осуществляет исполнительный комитет   </w:t>
            </w:r>
            <w:proofErr w:type="spellStart"/>
            <w:r>
              <w:t>Мюдовского</w:t>
            </w:r>
            <w:proofErr w:type="spellEnd"/>
            <w:r>
              <w:t xml:space="preserve">  сельского поселения Аксубаевского района Республики Татарстан</w:t>
            </w:r>
          </w:p>
        </w:tc>
      </w:tr>
    </w:tbl>
    <w:p w:rsidR="00F27FDB" w:rsidRDefault="00F27FDB" w:rsidP="00F27FDB">
      <w:pPr>
        <w:spacing w:after="0"/>
        <w:rPr>
          <w:rFonts w:ascii="Calibri" w:hAnsi="Calibri"/>
          <w:lang w:eastAsia="ar-SA"/>
        </w:rPr>
      </w:pPr>
    </w:p>
    <w:p w:rsidR="00F27FDB" w:rsidRDefault="00F27FDB" w:rsidP="00F27FDB">
      <w:pPr>
        <w:spacing w:after="0"/>
        <w:ind w:left="360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Обоснование актуальности разработки Программы</w:t>
      </w:r>
    </w:p>
    <w:p w:rsidR="00F27FDB" w:rsidRDefault="00F27FDB" w:rsidP="00F27F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Разработка данной Программы продиктована необходимостью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электро-газо-и водоснабжения населения, от 23 ноября 2009г. №261-ФЗ «Об энергосбережении и о повышении энергетической эффективности».</w:t>
      </w:r>
    </w:p>
    <w:p w:rsidR="00F27FDB" w:rsidRDefault="00F27FDB" w:rsidP="00F27F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 с хлорсодержащими веществами,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</w:t>
      </w:r>
    </w:p>
    <w:p w:rsidR="00F27FDB" w:rsidRDefault="00F27FDB" w:rsidP="00F27FD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рамках развития систем </w:t>
      </w:r>
      <w:proofErr w:type="gramStart"/>
      <w:r>
        <w:rPr>
          <w:rFonts w:ascii="Arial" w:hAnsi="Arial" w:cs="Arial"/>
          <w:sz w:val="24"/>
          <w:szCs w:val="24"/>
        </w:rPr>
        <w:t>водоснабжения  необходимо</w:t>
      </w:r>
      <w:proofErr w:type="gramEnd"/>
      <w:r>
        <w:rPr>
          <w:rFonts w:ascii="Arial" w:hAnsi="Arial" w:cs="Arial"/>
          <w:sz w:val="24"/>
          <w:szCs w:val="24"/>
        </w:rPr>
        <w:t xml:space="preserve"> выполнение работ по строительству  магистрального водопровода (или реконструкция сетей водопровода)  в п. Пионер, с. Татарское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 xml:space="preserve">, п. </w:t>
      </w:r>
      <w:proofErr w:type="spellStart"/>
      <w:r>
        <w:rPr>
          <w:rFonts w:ascii="Arial" w:hAnsi="Arial" w:cs="Arial"/>
          <w:sz w:val="24"/>
          <w:szCs w:val="24"/>
        </w:rPr>
        <w:t>Мюд</w:t>
      </w:r>
      <w:proofErr w:type="spellEnd"/>
      <w:r>
        <w:rPr>
          <w:rFonts w:ascii="Arial" w:hAnsi="Arial" w:cs="Arial"/>
          <w:sz w:val="24"/>
          <w:szCs w:val="24"/>
        </w:rPr>
        <w:t xml:space="preserve">, с. Старое </w:t>
      </w:r>
      <w:proofErr w:type="spellStart"/>
      <w:r>
        <w:rPr>
          <w:rFonts w:ascii="Arial" w:hAnsi="Arial" w:cs="Arial"/>
          <w:sz w:val="24"/>
          <w:szCs w:val="24"/>
        </w:rPr>
        <w:t>Мокшино</w:t>
      </w:r>
      <w:proofErr w:type="spellEnd"/>
      <w:r>
        <w:rPr>
          <w:rFonts w:ascii="Arial" w:hAnsi="Arial" w:cs="Arial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sz w:val="24"/>
          <w:szCs w:val="24"/>
        </w:rPr>
        <w:t>Ахматка</w:t>
      </w:r>
      <w:proofErr w:type="spellEnd"/>
      <w:r>
        <w:rPr>
          <w:rFonts w:ascii="Arial" w:hAnsi="Arial" w:cs="Arial"/>
          <w:sz w:val="24"/>
          <w:szCs w:val="24"/>
        </w:rPr>
        <w:t xml:space="preserve">, д. Пономаревка. </w:t>
      </w: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Цели, задачи и сроки реализации долгосрочной Программы</w:t>
      </w:r>
    </w:p>
    <w:p w:rsidR="00F27FDB" w:rsidRDefault="00F27FDB" w:rsidP="00F27F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улучшение условий проживания населения 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района.</w:t>
      </w:r>
    </w:p>
    <w:p w:rsidR="00F27FDB" w:rsidRDefault="00F27FDB" w:rsidP="00F27F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F27FDB" w:rsidRDefault="00F27FDB" w:rsidP="00F27FD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реализации долгосрочной Программы: 2015-2026 годы.</w:t>
      </w: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Система программных мероприятий</w:t>
      </w:r>
    </w:p>
    <w:p w:rsidR="00F27FDB" w:rsidRDefault="00F27FDB" w:rsidP="00F27F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 целях реализации Программы планируется осуществить:</w:t>
      </w:r>
    </w:p>
    <w:p w:rsidR="00F27FDB" w:rsidRDefault="00F27FDB" w:rsidP="00F27F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F27FDB" w:rsidRDefault="00F27FDB" w:rsidP="00F27FDB">
      <w:pPr>
        <w:numPr>
          <w:ilvl w:val="1"/>
          <w:numId w:val="3"/>
        </w:numPr>
        <w:suppressAutoHyphens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ремонт, реконструкцию и строительство систем коммунальной инфраструктуры.</w:t>
      </w:r>
    </w:p>
    <w:p w:rsidR="00F27FDB" w:rsidRDefault="00F27FDB" w:rsidP="00F27F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Ресурсное обеспечение Программы</w:t>
      </w:r>
    </w:p>
    <w:p w:rsidR="00F27FDB" w:rsidRDefault="00F27FDB" w:rsidP="00F27F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Финансирование мероприятий Программы осуществляется за счет средств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с привлечением  средств федерального и республиканского бюджета.  </w:t>
      </w:r>
    </w:p>
    <w:p w:rsidR="00F27FDB" w:rsidRDefault="00F27FDB" w:rsidP="00F27F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со финансирования.        Объемы финансирования Программы на 2015 -2026 годы  носят прогнозный характер и подлежат ежегодному уточнению в установленном порядке после принятия бюджетов на очередной финансовый год.</w:t>
      </w:r>
    </w:p>
    <w:p w:rsidR="00F27FDB" w:rsidRDefault="00F27FDB" w:rsidP="00F27F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Оценка эффективности реализации Программы</w:t>
      </w:r>
    </w:p>
    <w:p w:rsidR="00F27FDB" w:rsidRDefault="00F27FDB" w:rsidP="00F27F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F27FDB" w:rsidRDefault="00F27FDB" w:rsidP="00F27F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F27FDB" w:rsidRDefault="00F27FDB" w:rsidP="00F27FDB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критерии доступности коммунальных услуг для населения; </w:t>
      </w:r>
    </w:p>
    <w:p w:rsidR="00F27FDB" w:rsidRDefault="00F27FDB" w:rsidP="00F27FDB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F27FDB" w:rsidRDefault="00F27FDB" w:rsidP="00F27FDB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величины новых нагрузок; </w:t>
      </w:r>
    </w:p>
    <w:p w:rsidR="00F27FDB" w:rsidRDefault="00F27FDB" w:rsidP="00F27FDB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показатели качества поставляемого ресурса; </w:t>
      </w:r>
    </w:p>
    <w:p w:rsidR="00F27FDB" w:rsidRDefault="00F27FDB" w:rsidP="00F27FDB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показатели степени охвата потребителей приборами учета; </w:t>
      </w:r>
    </w:p>
    <w:p w:rsidR="00F27FDB" w:rsidRDefault="00F27FDB" w:rsidP="00F27FDB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показатели надежности поставки ресурсов; </w:t>
      </w:r>
    </w:p>
    <w:p w:rsidR="00F27FDB" w:rsidRDefault="00F27FDB" w:rsidP="00F27FDB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F27FDB" w:rsidRDefault="00F27FDB" w:rsidP="00F27FDB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F27FDB" w:rsidRDefault="00F27FDB" w:rsidP="00F27FDB">
      <w:pPr>
        <w:pStyle w:val="12"/>
        <w:numPr>
          <w:ilvl w:val="0"/>
          <w:numId w:val="4"/>
        </w:numPr>
        <w:ind w:left="993" w:hanging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показатели воздействия на окружающую среду. </w:t>
      </w:r>
    </w:p>
    <w:p w:rsidR="00F27FDB" w:rsidRDefault="00F27FDB" w:rsidP="00F27F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F27FDB" w:rsidRDefault="00F27FDB" w:rsidP="00F27F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F27FDB" w:rsidRDefault="00F27FDB" w:rsidP="00F27F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Охват потребителей услугами  используется для оценки качества работы систем жизнеобеспечения. </w:t>
      </w:r>
    </w:p>
    <w:p w:rsidR="00F27FDB" w:rsidRDefault="00F27FDB" w:rsidP="00F27F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F27FDB" w:rsidRDefault="00F27FDB" w:rsidP="00F27F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F27FDB" w:rsidRDefault="00F27FDB" w:rsidP="00F27F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F27FDB" w:rsidRDefault="00F27FDB" w:rsidP="00F27F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F27FDB" w:rsidRDefault="00F27FDB" w:rsidP="00F27F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F27FDB" w:rsidRDefault="00F27FDB" w:rsidP="00F27F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Результатами реализация мероприятий по развитию систем водоснабжения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являются: </w:t>
      </w:r>
    </w:p>
    <w:p w:rsidR="00F27FDB" w:rsidRDefault="00F27FDB" w:rsidP="00F27FDB">
      <w:pPr>
        <w:pStyle w:val="12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F27FDB" w:rsidRDefault="00F27FDB" w:rsidP="00F27FDB">
      <w:pPr>
        <w:pStyle w:val="12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F27FDB" w:rsidRDefault="00F27FDB" w:rsidP="00F27FDB">
      <w:pPr>
        <w:pStyle w:val="12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обеспечение энергосбережения; </w:t>
      </w:r>
    </w:p>
    <w:p w:rsidR="00F27FDB" w:rsidRDefault="00F27FDB" w:rsidP="00F27FDB">
      <w:pPr>
        <w:pStyle w:val="12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снижение уровня потерь и неучтенных расходов воды к 2026 г. </w:t>
      </w:r>
    </w:p>
    <w:p w:rsidR="00F27FDB" w:rsidRDefault="00F27FDB" w:rsidP="00F27FDB">
      <w:pPr>
        <w:pStyle w:val="12"/>
        <w:numPr>
          <w:ilvl w:val="0"/>
          <w:numId w:val="4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F27FDB" w:rsidRDefault="00F27FDB" w:rsidP="00F27FD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Количественные значения  целевых показателей определены с учетом выполнения всех мероприятий Программы в запланированные сроки. </w:t>
      </w:r>
    </w:p>
    <w:p w:rsidR="00F27FDB" w:rsidRDefault="00F27FDB" w:rsidP="00F27FD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ключевым из них относятся: </w:t>
      </w:r>
    </w:p>
    <w:p w:rsidR="00F27FDB" w:rsidRDefault="00F27FDB" w:rsidP="00F27F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Водоснабжение</w:t>
      </w:r>
      <w:r>
        <w:rPr>
          <w:rFonts w:ascii="Arial" w:hAnsi="Arial" w:cs="Arial"/>
          <w:sz w:val="24"/>
          <w:szCs w:val="24"/>
        </w:rPr>
        <w:t xml:space="preserve">: </w:t>
      </w:r>
    </w:p>
    <w:p w:rsidR="00F27FDB" w:rsidRDefault="00F27FDB" w:rsidP="00F27F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Оптимизация технической структуры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F27FDB" w:rsidRDefault="00F27FDB" w:rsidP="00F27FDB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Параметры </w:t>
      </w:r>
      <w:proofErr w:type="spellStart"/>
      <w:r>
        <w:rPr>
          <w:rFonts w:ascii="Arial" w:hAnsi="Arial" w:cs="Arial"/>
          <w:sz w:val="24"/>
          <w:szCs w:val="24"/>
        </w:rPr>
        <w:t>ресурсоэффективности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Обеспечить снижение потерь воды;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Организовать постоянный приборный мониторинг утечек;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Снизить удельные расходы на электроэнергию в 2 раза;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Обеспечить все желающие домохозяйства возможностью установки приборами учета, организации их поверки и обслуживания; </w:t>
      </w:r>
    </w:p>
    <w:p w:rsidR="00F27FDB" w:rsidRDefault="00F27FDB" w:rsidP="00F27F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Параметры надежности и качества обслуживания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Снизить повреждаемость водопроводных сетей;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Снизить расходы на аварийно-восстановительные работы;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Безусловно соблюдать нормативные требования по параметрам качества воды и требования по охране окружающей среды;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F27FDB" w:rsidRDefault="00F27FDB" w:rsidP="00F27FDB">
      <w:pPr>
        <w:ind w:left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Параметры экономической эффективности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Возмещать капитальные затраты в модернизацию системы водоснабжения  в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F27FDB" w:rsidRDefault="00F27FDB" w:rsidP="00F27FDB">
      <w:pPr>
        <w:pStyle w:val="12"/>
        <w:numPr>
          <w:ilvl w:val="0"/>
          <w:numId w:val="5"/>
        </w:numPr>
        <w:ind w:left="993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F27FDB" w:rsidRDefault="00F27FDB" w:rsidP="00F27FDB">
      <w:pPr>
        <w:pStyle w:val="3"/>
        <w:rPr>
          <w:rFonts w:ascii="Arial" w:hAnsi="Arial" w:cs="Arial"/>
          <w:kern w:val="32"/>
          <w:sz w:val="24"/>
          <w:szCs w:val="24"/>
        </w:rPr>
      </w:pPr>
      <w:r>
        <w:rPr>
          <w:rFonts w:ascii="Arial" w:hAnsi="Arial" w:cs="Arial"/>
          <w:kern w:val="32"/>
          <w:sz w:val="24"/>
          <w:szCs w:val="24"/>
        </w:rPr>
        <w:lastRenderedPageBreak/>
        <w:t xml:space="preserve"> Утилизация твердых бытовых отходов</w:t>
      </w:r>
    </w:p>
    <w:p w:rsidR="00F27FDB" w:rsidRDefault="00F27FDB" w:rsidP="00F27F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В целях снижения загрязненности территории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твердыми бытовыми отходами предлагается </w:t>
      </w:r>
      <w:r>
        <w:rPr>
          <w:rFonts w:ascii="Arial" w:hAnsi="Arial" w:cs="Arial"/>
          <w:bCs/>
          <w:sz w:val="24"/>
          <w:szCs w:val="24"/>
        </w:rPr>
        <w:t xml:space="preserve">сбор ТБО в контейнеры, расположенные на специально оборудованных контейнерных площадках. Места установки контейнеров должны быть ограждены (высота ограждения 1,6 м) и освещены. </w:t>
      </w:r>
    </w:p>
    <w:p w:rsidR="00F27FDB" w:rsidRDefault="00F27FDB" w:rsidP="00F27FD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Совет местного самоуправления поселения составляет и утверждает график движения </w:t>
      </w:r>
      <w:proofErr w:type="spellStart"/>
      <w:r>
        <w:rPr>
          <w:rFonts w:ascii="Arial" w:hAnsi="Arial" w:cs="Arial"/>
          <w:bCs/>
          <w:sz w:val="24"/>
          <w:szCs w:val="24"/>
        </w:rPr>
        <w:t>спецавтотранспорта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и график удаления бытовых отходов с территории населенного пункта.</w:t>
      </w:r>
    </w:p>
    <w:p w:rsidR="00F27FDB" w:rsidRDefault="00F27FDB" w:rsidP="00F27FD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Организация управления Программой и контроль за ходом ее реализации</w:t>
      </w:r>
    </w:p>
    <w:p w:rsidR="00F27FDB" w:rsidRDefault="00F27FDB" w:rsidP="00F27F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Заказчиком Программы является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F27FDB" w:rsidRDefault="00F27FDB" w:rsidP="00F27F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Заказчик осуществляет:</w:t>
      </w:r>
    </w:p>
    <w:p w:rsidR="00F27FDB" w:rsidRDefault="00F27FDB" w:rsidP="00F27F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контроль за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F27FDB" w:rsidRDefault="00F27FDB" w:rsidP="00F27F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F27FDB" w:rsidRDefault="00F27FDB" w:rsidP="00F27FDB">
      <w:pPr>
        <w:jc w:val="both"/>
        <w:rPr>
          <w:rFonts w:ascii="Arial" w:hAnsi="Arial" w:cs="Arial"/>
          <w:sz w:val="24"/>
          <w:szCs w:val="24"/>
        </w:rPr>
      </w:pPr>
    </w:p>
    <w:p w:rsidR="00F27FDB" w:rsidRDefault="00F27FDB" w:rsidP="00F27FDB">
      <w:pPr>
        <w:jc w:val="both"/>
        <w:rPr>
          <w:rFonts w:ascii="Calibri" w:hAnsi="Calibri" w:cs="Times New Roman"/>
        </w:rPr>
      </w:pPr>
    </w:p>
    <w:p w:rsidR="00F27FDB" w:rsidRDefault="00F27FDB" w:rsidP="00F27FDB">
      <w:pPr>
        <w:jc w:val="both"/>
      </w:pPr>
    </w:p>
    <w:p w:rsidR="00F27FDB" w:rsidRDefault="00F27FDB" w:rsidP="00F27FDB">
      <w:pPr>
        <w:rPr>
          <w:sz w:val="26"/>
          <w:szCs w:val="26"/>
        </w:rPr>
      </w:pPr>
    </w:p>
    <w:p w:rsidR="00F27FDB" w:rsidRDefault="00F27FDB" w:rsidP="00F27FDB">
      <w:pPr>
        <w:spacing w:after="0"/>
        <w:rPr>
          <w:sz w:val="26"/>
          <w:szCs w:val="26"/>
        </w:rPr>
        <w:sectPr w:rsidR="00F27FDB" w:rsidSect="00D8290E">
          <w:pgSz w:w="11906" w:h="16838"/>
          <w:pgMar w:top="426" w:right="567" w:bottom="709" w:left="1418" w:header="709" w:footer="709" w:gutter="0"/>
          <w:cols w:space="720"/>
        </w:sectPr>
      </w:pPr>
    </w:p>
    <w:p w:rsidR="00F27FDB" w:rsidRDefault="00F27FDB" w:rsidP="00F27FDB">
      <w:pPr>
        <w:suppressAutoHyphens/>
        <w:spacing w:after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</w:t>
      </w:r>
    </w:p>
    <w:p w:rsidR="00F27FDB" w:rsidRDefault="00F27FDB" w:rsidP="00F27FDB">
      <w:pPr>
        <w:suppressAutoHyphens/>
        <w:spacing w:after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программе</w:t>
      </w:r>
    </w:p>
    <w:p w:rsidR="00F27FDB" w:rsidRDefault="00F27FDB" w:rsidP="00F27FDB">
      <w:pPr>
        <w:suppressAutoHyphens/>
        <w:spacing w:after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Основные мероприятия</w:t>
      </w:r>
    </w:p>
    <w:tbl>
      <w:tblPr>
        <w:tblpPr w:leftFromText="180" w:rightFromText="180" w:vertAnchor="text" w:horzAnchor="margin" w:tblpY="1064"/>
        <w:tblW w:w="15705" w:type="dxa"/>
        <w:tblLayout w:type="fixed"/>
        <w:tblLook w:val="04A0" w:firstRow="1" w:lastRow="0" w:firstColumn="1" w:lastColumn="0" w:noHBand="0" w:noVBand="1"/>
      </w:tblPr>
      <w:tblGrid>
        <w:gridCol w:w="649"/>
        <w:gridCol w:w="2044"/>
        <w:gridCol w:w="676"/>
        <w:gridCol w:w="567"/>
        <w:gridCol w:w="850"/>
        <w:gridCol w:w="709"/>
        <w:gridCol w:w="709"/>
        <w:gridCol w:w="708"/>
        <w:gridCol w:w="709"/>
        <w:gridCol w:w="709"/>
        <w:gridCol w:w="567"/>
        <w:gridCol w:w="709"/>
        <w:gridCol w:w="850"/>
        <w:gridCol w:w="709"/>
        <w:gridCol w:w="4540"/>
      </w:tblGrid>
      <w:tr w:rsidR="00F27FDB" w:rsidTr="00F27FDB">
        <w:trPr>
          <w:trHeight w:val="330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 w:rsidP="00F27FDB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№</w:t>
            </w:r>
          </w:p>
          <w:p w:rsidR="00F27FDB" w:rsidRDefault="00F27FDB" w:rsidP="00F27FD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 w:rsidP="00F27FDB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8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 w:rsidP="00F27FDB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Выполнение  мероприятий по годам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B" w:rsidRDefault="00F27FDB" w:rsidP="00F27FDB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Примечание</w:t>
            </w:r>
          </w:p>
        </w:tc>
      </w:tr>
      <w:tr w:rsidR="00F27FDB" w:rsidTr="00F27FDB">
        <w:trPr>
          <w:trHeight w:val="300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FDB" w:rsidRDefault="00F27FDB" w:rsidP="00F27F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FDB" w:rsidRDefault="00F27FDB" w:rsidP="00F27F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7FDB" w:rsidRDefault="00F27FDB" w:rsidP="00F27FDB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2015г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7FDB" w:rsidRDefault="00F27FDB" w:rsidP="00F27FDB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2016г.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7FDB" w:rsidRDefault="00F27FDB" w:rsidP="00F27FDB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2017г.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7FDB" w:rsidRDefault="00F27FDB" w:rsidP="00F27FDB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2018г.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7FDB" w:rsidRDefault="00F27FDB" w:rsidP="00F27FDB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2019г.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7FDB" w:rsidRDefault="00F27FDB" w:rsidP="00F27FDB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2020г.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 w:rsidP="00F27FDB">
            <w:pPr>
              <w:suppressAutoHyphens/>
              <w:snapToGrid w:val="0"/>
              <w:ind w:right="-108" w:hanging="104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2021г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 w:rsidP="00F27FDB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2022г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B" w:rsidRDefault="00F27FDB" w:rsidP="00F27FDB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2023г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FDB" w:rsidRDefault="00F27FDB" w:rsidP="00F27FDB">
            <w:pPr>
              <w:suppressAutoHyphens/>
              <w:snapToGrid w:val="0"/>
              <w:ind w:right="-108" w:hanging="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2024г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27FDB" w:rsidRDefault="00F27FDB" w:rsidP="00F27FDB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27FDB" w:rsidRDefault="00F27FDB" w:rsidP="00F27FDB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B" w:rsidRDefault="00F27FDB" w:rsidP="00F27FDB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F27FDB" w:rsidTr="00F27FDB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7FDB" w:rsidRDefault="00F27FDB" w:rsidP="00F27FD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  <w:p w:rsidR="00F27FDB" w:rsidRDefault="00F27FDB" w:rsidP="00F27FD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27FDB" w:rsidRDefault="00F27FDB" w:rsidP="00F27FD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27FDB" w:rsidRDefault="00F27FDB" w:rsidP="00F27FD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27FDB" w:rsidRDefault="00F27FDB" w:rsidP="00F27FD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27FDB" w:rsidRDefault="00F27FDB" w:rsidP="00F27FDB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7FDB" w:rsidRDefault="00F27FDB" w:rsidP="00F27FDB">
            <w:pPr>
              <w:suppressAutoHyphens/>
              <w:snapToGrid w:val="0"/>
              <w:spacing w:after="0"/>
              <w:ind w:right="-112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t xml:space="preserve">Содержание и обслуживание систем водоснабжения </w:t>
            </w:r>
            <w:proofErr w:type="gramStart"/>
            <w: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 п.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Пионер, с. Татарское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Сунчелеево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п.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Мюд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с. Старое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Мокшино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д.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Ахматка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д. Пономаревка. </w:t>
            </w:r>
          </w:p>
          <w:p w:rsidR="00F27FDB" w:rsidRDefault="00F27FDB" w:rsidP="00F27FDB">
            <w:pPr>
              <w:suppressAutoHyphens/>
              <w:snapToGrid w:val="0"/>
              <w:spacing w:after="0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B" w:rsidRDefault="00F27FDB" w:rsidP="00F27FD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 w:rsidP="00F27FD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330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B" w:rsidRDefault="00F27FDB" w:rsidP="00F27FDB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430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 w:rsidP="00F27FDB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 w:rsidP="00F27FDB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 w:rsidP="00F27FDB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 w:rsidP="00F27FDB">
            <w:pPr>
              <w:suppressAutoHyphens/>
              <w:snapToGrid w:val="0"/>
              <w:spacing w:after="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7FDB" w:rsidRDefault="00F27FDB" w:rsidP="00F27FDB">
            <w:pPr>
              <w:suppressAutoHyphens/>
              <w:snapToGrid w:val="0"/>
              <w:spacing w:after="0"/>
              <w:ind w:right="-107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620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B" w:rsidRDefault="00F27FDB" w:rsidP="00F27FDB">
            <w:pPr>
              <w:suppressAutoHyphens/>
              <w:snapToGrid w:val="0"/>
              <w:spacing w:after="0"/>
              <w:ind w:right="-107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FDB" w:rsidRDefault="0006443D" w:rsidP="00F27FD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27FDB" w:rsidRDefault="0006443D" w:rsidP="00F27FD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570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27FDB" w:rsidRDefault="0006443D" w:rsidP="00F27FD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570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DB" w:rsidRDefault="00F27FDB" w:rsidP="00F27FDB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объемы  финансирования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со финансирование  мероприятий</w:t>
            </w:r>
          </w:p>
        </w:tc>
      </w:tr>
      <w:tr w:rsidR="00F27FDB" w:rsidTr="00F27FDB"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7FDB" w:rsidRDefault="00F27FDB" w:rsidP="00F27FDB">
            <w:pPr>
              <w:suppressAutoHyphens/>
              <w:snapToGrid w:val="0"/>
              <w:spacing w:after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7FDB" w:rsidRDefault="00F27FDB" w:rsidP="00F27FDB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Итого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тыс.руб</w:t>
            </w:r>
            <w:proofErr w:type="spellEnd"/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B" w:rsidRDefault="00F27FDB" w:rsidP="00F27FDB">
            <w:pPr>
              <w:suppressAutoHyphens/>
              <w:snapToGrid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7FDB" w:rsidRDefault="00F27FDB" w:rsidP="00F27FDB">
            <w:pPr>
              <w:suppressAutoHyphens/>
              <w:snapToGrid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B" w:rsidRDefault="00F27FDB" w:rsidP="00F27FDB">
            <w:pPr>
              <w:suppressAutoHyphens/>
              <w:snapToGrid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7FDB" w:rsidRDefault="00F27FDB" w:rsidP="00F27FDB">
            <w:pPr>
              <w:suppressAutoHyphens/>
              <w:snapToGrid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7FDB" w:rsidRDefault="00F27FDB" w:rsidP="00F27FDB">
            <w:pPr>
              <w:suppressAutoHyphens/>
              <w:snapToGrid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7FDB" w:rsidRDefault="00F27FDB" w:rsidP="00F27FDB">
            <w:pPr>
              <w:suppressAutoHyphens/>
              <w:snapToGrid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7FDB" w:rsidRDefault="00F27FDB" w:rsidP="00F27FDB">
            <w:pPr>
              <w:suppressAutoHyphens/>
              <w:snapToGrid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27FDB" w:rsidRDefault="00F27FDB" w:rsidP="00F27FDB">
            <w:pPr>
              <w:suppressAutoHyphens/>
              <w:snapToGrid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B" w:rsidRDefault="00F27FDB" w:rsidP="00F27FDB">
            <w:pPr>
              <w:suppressAutoHyphens/>
              <w:snapToGrid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FDB" w:rsidRDefault="00F27FDB" w:rsidP="0006443D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cs="Arial"/>
                <w:b/>
              </w:rPr>
              <w:t xml:space="preserve"> </w:t>
            </w:r>
            <w:r w:rsidR="0006443D">
              <w:rPr>
                <w:rFonts w:cs="Arial"/>
                <w:b/>
              </w:rPr>
              <w:t>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27FDB" w:rsidRDefault="0006443D" w:rsidP="00F27FDB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570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F27FDB" w:rsidRDefault="0006443D" w:rsidP="00F27FDB">
            <w:pPr>
              <w:suppressAutoHyphens/>
              <w:snapToGrid w:val="0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570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DB" w:rsidRDefault="00F27FDB" w:rsidP="00F27FDB">
            <w:pPr>
              <w:suppressAutoHyphens/>
              <w:snapToGrid w:val="0"/>
              <w:jc w:val="center"/>
              <w:rPr>
                <w:rFonts w:cs="Times New Roman"/>
                <w:sz w:val="26"/>
                <w:szCs w:val="26"/>
                <w:lang w:eastAsia="ar-SA"/>
              </w:rPr>
            </w:pPr>
          </w:p>
        </w:tc>
      </w:tr>
    </w:tbl>
    <w:p w:rsidR="00F27FDB" w:rsidRDefault="00F27FDB" w:rsidP="00F27FDB">
      <w:pPr>
        <w:suppressAutoHyphens/>
        <w:jc w:val="center"/>
        <w:rPr>
          <w:rFonts w:ascii="Calibri" w:hAnsi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муниципальной программы </w:t>
      </w:r>
      <w:r>
        <w:rPr>
          <w:sz w:val="28"/>
          <w:szCs w:val="28"/>
        </w:rPr>
        <w:t xml:space="preserve">«Комплексное развитие систем коммунальной инфраструктуры </w:t>
      </w:r>
      <w:proofErr w:type="spellStart"/>
      <w:r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  на 2015-2026 годы».</w:t>
      </w:r>
    </w:p>
    <w:sectPr w:rsidR="00F27FDB" w:rsidSect="00F27FDB">
      <w:pgSz w:w="16838" w:h="11906" w:orient="landscape"/>
      <w:pgMar w:top="1417" w:right="568" w:bottom="851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42B"/>
    <w:rsid w:val="00042420"/>
    <w:rsid w:val="0006443D"/>
    <w:rsid w:val="00080399"/>
    <w:rsid w:val="000C4DA9"/>
    <w:rsid w:val="000C5FCE"/>
    <w:rsid w:val="0020296D"/>
    <w:rsid w:val="002240FD"/>
    <w:rsid w:val="00276DFD"/>
    <w:rsid w:val="00297139"/>
    <w:rsid w:val="002B4226"/>
    <w:rsid w:val="002D341B"/>
    <w:rsid w:val="002E3B52"/>
    <w:rsid w:val="003D49CD"/>
    <w:rsid w:val="00501696"/>
    <w:rsid w:val="00557DC7"/>
    <w:rsid w:val="00592BFC"/>
    <w:rsid w:val="005E7EAB"/>
    <w:rsid w:val="00865027"/>
    <w:rsid w:val="00875C94"/>
    <w:rsid w:val="00876EE4"/>
    <w:rsid w:val="008B642B"/>
    <w:rsid w:val="008D55A3"/>
    <w:rsid w:val="008D586C"/>
    <w:rsid w:val="008F3AE3"/>
    <w:rsid w:val="00915D0E"/>
    <w:rsid w:val="00AB59B6"/>
    <w:rsid w:val="00B21E5D"/>
    <w:rsid w:val="00BA52D8"/>
    <w:rsid w:val="00BF2136"/>
    <w:rsid w:val="00C60C66"/>
    <w:rsid w:val="00C800B7"/>
    <w:rsid w:val="00D1470F"/>
    <w:rsid w:val="00D8290E"/>
    <w:rsid w:val="00D957B6"/>
    <w:rsid w:val="00DD25B3"/>
    <w:rsid w:val="00E224F0"/>
    <w:rsid w:val="00E40B75"/>
    <w:rsid w:val="00E66C71"/>
    <w:rsid w:val="00EC1BAE"/>
    <w:rsid w:val="00F27FDB"/>
    <w:rsid w:val="00F44A25"/>
    <w:rsid w:val="00FD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71911-D540-494A-869E-ADC78E8B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EAB"/>
  </w:style>
  <w:style w:type="paragraph" w:styleId="1">
    <w:name w:val="heading 1"/>
    <w:basedOn w:val="a"/>
    <w:next w:val="a"/>
    <w:link w:val="10"/>
    <w:uiPriority w:val="9"/>
    <w:qFormat/>
    <w:rsid w:val="00BF21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F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642B"/>
    <w:rPr>
      <w:color w:val="0000FF"/>
      <w:u w:val="single"/>
    </w:rPr>
  </w:style>
  <w:style w:type="paragraph" w:customStyle="1" w:styleId="ConsPlusNormal">
    <w:name w:val="ConsPlusNormal"/>
    <w:uiPriority w:val="99"/>
    <w:rsid w:val="002E3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2E3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Body Text"/>
    <w:basedOn w:val="a"/>
    <w:link w:val="a5"/>
    <w:uiPriority w:val="99"/>
    <w:rsid w:val="002E3B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2E3B52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rsid w:val="002E3B5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E3B5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rsid w:val="00BA52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BA52D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F2136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uiPriority w:val="10"/>
    <w:qFormat/>
    <w:rsid w:val="00BF21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8">
    <w:name w:val="Название Знак"/>
    <w:basedOn w:val="a0"/>
    <w:link w:val="a7"/>
    <w:uiPriority w:val="10"/>
    <w:rsid w:val="00BF2136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11">
    <w:name w:val="Основной текст1"/>
    <w:aliases w:val="Знак Знак,Знак"/>
    <w:basedOn w:val="a"/>
    <w:rsid w:val="00BF2136"/>
    <w:pPr>
      <w:spacing w:after="0" w:line="240" w:lineRule="auto"/>
      <w:jc w:val="both"/>
    </w:pPr>
    <w:rPr>
      <w:rFonts w:ascii="MS Serif" w:eastAsia="Times New Roman" w:hAnsi="MS Serif" w:cs="Times New Roman"/>
      <w:b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21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27F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b">
    <w:name w:val="Таблицы (моноширинный)"/>
    <w:basedOn w:val="a"/>
    <w:next w:val="a"/>
    <w:rsid w:val="00F27FDB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2">
    <w:name w:val="Абзац списка1"/>
    <w:basedOn w:val="a"/>
    <w:rsid w:val="00F27FDB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eastAsia="Calibri" w:hAnsi="Times New Roman" w:cs="Arial"/>
      <w:sz w:val="28"/>
      <w:szCs w:val="20"/>
    </w:rPr>
  </w:style>
  <w:style w:type="paragraph" w:styleId="ac">
    <w:name w:val="No Spacing"/>
    <w:uiPriority w:val="1"/>
    <w:qFormat/>
    <w:rsid w:val="00D8290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2416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21</cp:revision>
  <cp:lastPrinted>2019-12-16T10:30:00Z</cp:lastPrinted>
  <dcterms:created xsi:type="dcterms:W3CDTF">2019-12-16T11:31:00Z</dcterms:created>
  <dcterms:modified xsi:type="dcterms:W3CDTF">2023-12-08T10:37:00Z</dcterms:modified>
</cp:coreProperties>
</file>