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3F" w:rsidRDefault="00947359" w:rsidP="004F6C3F">
      <w:pPr>
        <w:jc w:val="right"/>
      </w:pPr>
      <w:r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РОССИЙСКАЯ ФЕДЕРАЦИЯ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РЕСПУБЛИКА ТАТАРСТАН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АКСУБАЕВСКИЙ МУНИЦИПАЛЬНЫЙ РАЙОН</w:t>
      </w:r>
    </w:p>
    <w:p w:rsidR="00484B5B" w:rsidRPr="00484B5B" w:rsidRDefault="00957A60" w:rsidP="00484B5B">
      <w:pPr>
        <w:jc w:val="center"/>
        <w:rPr>
          <w:b/>
          <w:szCs w:val="28"/>
        </w:rPr>
      </w:pPr>
      <w:r>
        <w:rPr>
          <w:b/>
          <w:szCs w:val="28"/>
        </w:rPr>
        <w:t>ЩЕРБЕНСКОЕ</w:t>
      </w:r>
      <w:r w:rsidR="00484B5B" w:rsidRPr="00484B5B">
        <w:rPr>
          <w:b/>
          <w:szCs w:val="28"/>
        </w:rPr>
        <w:t xml:space="preserve"> СЕЛЬСКОЕ ПОСЕЛЕНИЕ 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>
        <w:rPr>
          <w:szCs w:val="28"/>
        </w:rPr>
        <w:t>1</w:t>
      </w:r>
      <w:r w:rsidR="008C25CC">
        <w:rPr>
          <w:szCs w:val="28"/>
        </w:rPr>
        <w:t>8</w:t>
      </w:r>
      <w:r w:rsidRPr="00484B5B">
        <w:rPr>
          <w:szCs w:val="28"/>
        </w:rPr>
        <w:t>.10.20</w:t>
      </w:r>
      <w:r w:rsidR="00950633">
        <w:rPr>
          <w:szCs w:val="28"/>
        </w:rPr>
        <w:t>2</w:t>
      </w:r>
      <w:r w:rsidR="008C25CC">
        <w:rPr>
          <w:szCs w:val="28"/>
        </w:rPr>
        <w:t>1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9779A9">
        <w:rPr>
          <w:szCs w:val="28"/>
        </w:rPr>
        <w:t>3</w:t>
      </w:r>
      <w:bookmarkStart w:id="0" w:name="_GoBack"/>
      <w:bookmarkEnd w:id="0"/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</w:t>
      </w:r>
      <w:r w:rsidR="00950633">
        <w:rPr>
          <w:b/>
        </w:rPr>
        <w:t>2</w:t>
      </w:r>
      <w:r w:rsidR="008C25CC">
        <w:rPr>
          <w:b/>
        </w:rPr>
        <w:t>2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8C25CC">
        <w:rPr>
          <w:b/>
        </w:rPr>
        <w:t>3</w:t>
      </w:r>
      <w:r>
        <w:rPr>
          <w:b/>
        </w:rPr>
        <w:t>-202</w:t>
      </w:r>
      <w:r w:rsidR="008C25CC">
        <w:rPr>
          <w:b/>
        </w:rPr>
        <w:t>4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proofErr w:type="gram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8C25CC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8C25CC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8C25CC">
        <w:rPr>
          <w:color w:val="000000"/>
          <w:spacing w:val="-1"/>
          <w:szCs w:val="28"/>
        </w:rPr>
        <w:t>2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>1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8C25CC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8C25CC">
        <w:rPr>
          <w:color w:val="000000"/>
          <w:spacing w:val="-1"/>
          <w:szCs w:val="28"/>
        </w:rPr>
        <w:t xml:space="preserve">4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-202</w:t>
      </w:r>
      <w:r w:rsidR="008C25CC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 xml:space="preserve">4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г., 31.12.202</w:t>
      </w:r>
      <w:r w:rsidR="008C25CC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8C25CC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-202</w:t>
      </w:r>
      <w:r w:rsidR="008C25CC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>-202</w:t>
      </w:r>
      <w:r w:rsidR="008C25CC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>-202</w:t>
      </w:r>
      <w:r w:rsidR="008C25CC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8C25CC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20</w:t>
      </w:r>
      <w:r w:rsidR="00FA5972">
        <w:rPr>
          <w:color w:val="000000"/>
          <w:spacing w:val="-1"/>
          <w:szCs w:val="28"/>
        </w:rPr>
        <w:t>-202</w:t>
      </w:r>
      <w:r w:rsidR="008C25CC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8C25CC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8C25CC">
        <w:rPr>
          <w:color w:val="000000"/>
          <w:spacing w:val="5"/>
          <w:szCs w:val="28"/>
        </w:rPr>
        <w:t>1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8C25CC">
        <w:rPr>
          <w:b/>
          <w:i/>
          <w:color w:val="0000FF"/>
          <w:spacing w:val="5"/>
          <w:szCs w:val="28"/>
        </w:rPr>
        <w:t>2</w:t>
      </w:r>
      <w:r>
        <w:rPr>
          <w:b/>
          <w:i/>
          <w:color w:val="0000FF"/>
          <w:spacing w:val="5"/>
          <w:szCs w:val="28"/>
        </w:rPr>
        <w:t>-202</w:t>
      </w:r>
      <w:r w:rsidR="008C25CC">
        <w:rPr>
          <w:b/>
          <w:i/>
          <w:color w:val="0000FF"/>
          <w:spacing w:val="5"/>
          <w:szCs w:val="28"/>
        </w:rPr>
        <w:t>4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8C25CC">
        <w:rPr>
          <w:color w:val="000000"/>
          <w:spacing w:val="-1"/>
          <w:szCs w:val="28"/>
        </w:rPr>
        <w:t>2</w:t>
      </w:r>
      <w:r>
        <w:rPr>
          <w:color w:val="000000"/>
          <w:spacing w:val="-1"/>
          <w:szCs w:val="28"/>
        </w:rPr>
        <w:t>-202</w:t>
      </w:r>
      <w:r w:rsidR="008C25CC">
        <w:rPr>
          <w:color w:val="000000"/>
          <w:spacing w:val="-1"/>
          <w:szCs w:val="28"/>
        </w:rPr>
        <w:t>4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8C25CC">
        <w:rPr>
          <w:color w:val="000000"/>
          <w:spacing w:val="-4"/>
          <w:szCs w:val="28"/>
        </w:rPr>
        <w:t>2</w:t>
      </w:r>
      <w:r>
        <w:rPr>
          <w:color w:val="000000"/>
          <w:spacing w:val="-4"/>
          <w:szCs w:val="28"/>
        </w:rPr>
        <w:t>-202</w:t>
      </w:r>
      <w:r w:rsidR="008C25CC">
        <w:rPr>
          <w:color w:val="000000"/>
          <w:spacing w:val="-4"/>
          <w:szCs w:val="28"/>
        </w:rPr>
        <w:t>4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proofErr w:type="gramStart"/>
      <w:r>
        <w:rPr>
          <w:color w:val="000000"/>
          <w:spacing w:val="-1"/>
          <w:szCs w:val="28"/>
        </w:rPr>
        <w:t>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года</w:t>
      </w:r>
      <w:proofErr w:type="gramEnd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>-202</w:t>
      </w:r>
      <w:r w:rsidR="008C25CC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>-202</w:t>
      </w:r>
      <w:r w:rsidR="008C25CC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>-202</w:t>
      </w:r>
      <w:r w:rsidR="008C25CC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8C25CC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и 202</w:t>
      </w:r>
      <w:r w:rsidR="008C25CC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231BF1"/>
    <w:rsid w:val="003C5272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91307"/>
    <w:rsid w:val="00C86BBF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0AA5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15</cp:revision>
  <cp:lastPrinted>2021-10-18T07:49:00Z</cp:lastPrinted>
  <dcterms:created xsi:type="dcterms:W3CDTF">2017-09-29T12:07:00Z</dcterms:created>
  <dcterms:modified xsi:type="dcterms:W3CDTF">2021-11-17T07:53:00Z</dcterms:modified>
</cp:coreProperties>
</file>