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DB" w:rsidRDefault="00E61EDB" w:rsidP="00E61EDB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10C0D" w:rsidP="0051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AA3EB7">
        <w:rPr>
          <w:rFonts w:ascii="Times New Roman" w:hAnsi="Times New Roman" w:cs="Times New Roman"/>
          <w:sz w:val="28"/>
          <w:szCs w:val="28"/>
        </w:rPr>
        <w:t>19.06.2025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AA3EB7">
        <w:rPr>
          <w:rFonts w:ascii="Times New Roman" w:hAnsi="Times New Roman" w:cs="Times New Roman"/>
          <w:sz w:val="28"/>
          <w:szCs w:val="28"/>
        </w:rPr>
        <w:t>167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Аксубаевского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программы  по профилактике правонарушений в  </w:t>
      </w:r>
    </w:p>
    <w:p w:rsidR="005E3A7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p w:rsidR="00D37197" w:rsidRDefault="00D3719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Аксубаевского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Татарстан»,  Исполнительный комитет Аксубаевского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2476">
        <w:rPr>
          <w:rFonts w:ascii="Times New Roman" w:hAnsi="Times New Roman" w:cs="Times New Roman"/>
          <w:sz w:val="28"/>
          <w:szCs w:val="28"/>
        </w:rPr>
        <w:t>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EB4E1C">
        <w:rPr>
          <w:rFonts w:ascii="Times New Roman" w:hAnsi="Times New Roman" w:cs="Times New Roman"/>
          <w:sz w:val="28"/>
          <w:szCs w:val="28"/>
        </w:rPr>
        <w:t xml:space="preserve">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Аксубаевского муниципального района Республики Татарстан от 17.10.2023 № 298 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>(с изменением внесенным постановлением от 17.01.2024 № 6</w:t>
      </w:r>
      <w:r w:rsidR="00D37197">
        <w:rPr>
          <w:rFonts w:ascii="Times New Roman" w:hAnsi="Times New Roman"/>
          <w:bCs/>
          <w:color w:val="000000"/>
          <w:sz w:val="28"/>
          <w:szCs w:val="28"/>
        </w:rPr>
        <w:t>,  от 17.10.2024 г. № 304</w:t>
      </w:r>
      <w:r w:rsidR="00E60BB9">
        <w:rPr>
          <w:rFonts w:ascii="Times New Roman" w:hAnsi="Times New Roman"/>
          <w:bCs/>
          <w:color w:val="000000"/>
          <w:sz w:val="28"/>
          <w:szCs w:val="28"/>
        </w:rPr>
        <w:t>, от 27.05.2025 № 143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95247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2476" w:rsidRPr="00BB7424" w:rsidRDefault="00952476" w:rsidP="00D37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24">
        <w:rPr>
          <w:rFonts w:ascii="Times New Roman" w:hAnsi="Times New Roman" w:cs="Times New Roman"/>
          <w:sz w:val="28"/>
          <w:szCs w:val="28"/>
        </w:rPr>
        <w:t>1.1.</w:t>
      </w:r>
      <w:r w:rsidR="00D37197" w:rsidRPr="00BB7424">
        <w:rPr>
          <w:rFonts w:ascii="Times New Roman" w:hAnsi="Times New Roman" w:cs="Times New Roman"/>
          <w:sz w:val="28"/>
          <w:szCs w:val="28"/>
        </w:rPr>
        <w:t xml:space="preserve"> </w:t>
      </w:r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к Комплексной программе (Перечень мероприятий)  изложить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4D0801" w:rsidP="002D2086">
      <w:pPr>
        <w:pStyle w:val="a3"/>
        <w:spacing w:after="0"/>
      </w:pPr>
      <w:r>
        <w:rPr>
          <w:sz w:val="28"/>
          <w:szCs w:val="28"/>
        </w:rPr>
        <w:t>Р</w:t>
      </w:r>
      <w:r w:rsidR="00952476">
        <w:rPr>
          <w:sz w:val="28"/>
          <w:szCs w:val="28"/>
        </w:rPr>
        <w:t>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BB7424">
        <w:rPr>
          <w:sz w:val="28"/>
          <w:szCs w:val="28"/>
        </w:rPr>
        <w:t xml:space="preserve">         </w:t>
      </w:r>
      <w:proofErr w:type="spellStart"/>
      <w:r w:rsidR="00952476">
        <w:rPr>
          <w:sz w:val="28"/>
          <w:szCs w:val="28"/>
        </w:rPr>
        <w:t>А.М.Мингулов</w:t>
      </w:r>
      <w:proofErr w:type="spellEnd"/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74E" w:rsidRPr="0094278B" w:rsidRDefault="00E7374E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78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7374E" w:rsidRDefault="00E7374E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Комплексной</w:t>
      </w:r>
      <w:r w:rsidRPr="0094278B">
        <w:rPr>
          <w:rFonts w:ascii="Times New Roman" w:hAnsi="Times New Roman"/>
          <w:sz w:val="28"/>
          <w:szCs w:val="28"/>
        </w:rPr>
        <w:t xml:space="preserve"> программе «Организация деятельности по профилактике правонарушений и преступлений»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4278B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</w:t>
      </w:r>
      <w:r>
        <w:rPr>
          <w:rFonts w:ascii="Times New Roman" w:hAnsi="Times New Roman"/>
          <w:sz w:val="28"/>
          <w:szCs w:val="28"/>
        </w:rPr>
        <w:t>024</w:t>
      </w:r>
      <w:r w:rsidRPr="00942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925357">
        <w:rPr>
          <w:rFonts w:ascii="Times New Roman" w:hAnsi="Times New Roman"/>
          <w:sz w:val="28"/>
          <w:szCs w:val="28"/>
        </w:rPr>
        <w:t>7</w:t>
      </w:r>
      <w:r w:rsidR="00BB7424">
        <w:rPr>
          <w:rFonts w:ascii="Times New Roman" w:hAnsi="Times New Roman"/>
          <w:sz w:val="28"/>
          <w:szCs w:val="28"/>
        </w:rPr>
        <w:t xml:space="preserve"> </w:t>
      </w:r>
      <w:r w:rsidRPr="0094278B">
        <w:rPr>
          <w:rFonts w:ascii="Times New Roman" w:hAnsi="Times New Roman"/>
          <w:sz w:val="28"/>
          <w:szCs w:val="28"/>
        </w:rPr>
        <w:t xml:space="preserve">годы. </w:t>
      </w:r>
    </w:p>
    <w:p w:rsidR="002D2086" w:rsidRDefault="002D2086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sz w:val="28"/>
          <w:szCs w:val="28"/>
        </w:rPr>
      </w:pPr>
    </w:p>
    <w:p w:rsidR="002D2086" w:rsidRPr="0010047E" w:rsidRDefault="002D2086" w:rsidP="002D2086">
      <w:pPr>
        <w:pStyle w:val="20"/>
        <w:shd w:val="clear" w:color="auto" w:fill="auto"/>
        <w:spacing w:after="0"/>
        <w:ind w:left="3232" w:firstLine="708"/>
        <w:jc w:val="right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(в редакции</w:t>
      </w:r>
      <w:r w:rsidR="00BB7424" w:rsidRPr="0010047E">
        <w:rPr>
          <w:color w:val="000000"/>
          <w:sz w:val="28"/>
          <w:szCs w:val="28"/>
          <w:lang w:bidi="ru-RU"/>
        </w:rPr>
        <w:t xml:space="preserve"> </w:t>
      </w:r>
      <w:r w:rsidRPr="0010047E">
        <w:rPr>
          <w:color w:val="000000"/>
          <w:sz w:val="28"/>
          <w:szCs w:val="28"/>
          <w:lang w:bidi="ru-RU"/>
        </w:rPr>
        <w:t>Постановления</w:t>
      </w:r>
    </w:p>
    <w:p w:rsidR="002D2086" w:rsidRPr="0010047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10047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 xml:space="preserve">Аксубаевского муниципального района </w:t>
      </w:r>
    </w:p>
    <w:p w:rsidR="002D2086" w:rsidRPr="0010047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2D2086" w:rsidP="002D2086">
      <w:pPr>
        <w:pStyle w:val="20"/>
        <w:shd w:val="clear" w:color="auto" w:fill="auto"/>
        <w:tabs>
          <w:tab w:val="left" w:pos="1423"/>
        </w:tabs>
        <w:spacing w:after="0"/>
        <w:jc w:val="right"/>
        <w:rPr>
          <w:color w:val="000000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ab/>
      </w:r>
      <w:r w:rsidRPr="0010047E">
        <w:rPr>
          <w:color w:val="000000"/>
          <w:sz w:val="28"/>
          <w:szCs w:val="28"/>
          <w:lang w:bidi="ru-RU"/>
        </w:rPr>
        <w:tab/>
      </w:r>
      <w:r w:rsidRPr="0010047E">
        <w:rPr>
          <w:color w:val="000000"/>
          <w:sz w:val="28"/>
          <w:szCs w:val="28"/>
          <w:lang w:bidi="ru-RU"/>
        </w:rPr>
        <w:tab/>
      </w:r>
      <w:r w:rsidRPr="0010047E">
        <w:rPr>
          <w:color w:val="000000"/>
          <w:sz w:val="28"/>
          <w:szCs w:val="28"/>
          <w:lang w:bidi="ru-RU"/>
        </w:rPr>
        <w:tab/>
        <w:t xml:space="preserve">от </w:t>
      </w:r>
      <w:r w:rsidR="00AA3EB7">
        <w:rPr>
          <w:color w:val="000000"/>
          <w:sz w:val="28"/>
          <w:szCs w:val="28"/>
          <w:lang w:bidi="ru-RU"/>
        </w:rPr>
        <w:t>19.06.</w:t>
      </w:r>
      <w:r w:rsidR="009F706B" w:rsidRPr="0010047E">
        <w:rPr>
          <w:color w:val="000000"/>
          <w:sz w:val="28"/>
          <w:szCs w:val="28"/>
          <w:lang w:bidi="ru-RU"/>
        </w:rPr>
        <w:t>2025</w:t>
      </w:r>
      <w:r w:rsidRPr="0010047E">
        <w:rPr>
          <w:color w:val="000000"/>
          <w:sz w:val="28"/>
          <w:szCs w:val="28"/>
          <w:lang w:bidi="ru-RU"/>
        </w:rPr>
        <w:t xml:space="preserve">  №</w:t>
      </w:r>
      <w:r w:rsidR="00AA3EB7">
        <w:rPr>
          <w:color w:val="000000"/>
          <w:sz w:val="28"/>
          <w:szCs w:val="28"/>
          <w:lang w:bidi="ru-RU"/>
        </w:rPr>
        <w:t xml:space="preserve"> 167</w:t>
      </w:r>
      <w:bookmarkStart w:id="0" w:name="_GoBack"/>
      <w:bookmarkEnd w:id="0"/>
      <w:r w:rsidRPr="0010047E">
        <w:rPr>
          <w:color w:val="000000"/>
          <w:sz w:val="28"/>
          <w:szCs w:val="28"/>
          <w:lang w:bidi="ru-RU"/>
        </w:rPr>
        <w:t>)</w:t>
      </w:r>
    </w:p>
    <w:p w:rsidR="002D2086" w:rsidRPr="0094278B" w:rsidRDefault="002D2086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B7424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r>
              <w:rPr>
                <w:rFonts w:ascii="Times New Roman" w:hAnsi="Times New Roman"/>
                <w:bCs/>
                <w:szCs w:val="24"/>
              </w:rPr>
              <w:t>Аксубаевского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Аксубаевскомурайону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C751D" w:rsidRPr="00EB184B" w:rsidTr="009C751D">
        <w:trPr>
          <w:trHeight w:val="3090"/>
        </w:trPr>
        <w:tc>
          <w:tcPr>
            <w:tcW w:w="801" w:type="dxa"/>
            <w:vMerge w:val="restart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9C751D" w:rsidRPr="00EB184B" w:rsidRDefault="009C751D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C751D" w:rsidRPr="00EB184B" w:rsidRDefault="009C751D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9C751D" w:rsidRPr="002D2086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F0699B" w:rsidRPr="00EB184B" w:rsidTr="001D0754">
        <w:trPr>
          <w:trHeight w:val="2280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Проведение бесед на родительских собраниях в дошкольных и школьных учреждениях на тему профилактики преступлений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3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Организация и проведение конкурса рисунков на тему борьбы с информационно-телекоммуникационным мошенничеством.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428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 xml:space="preserve">Проведение «Классных часов» в </w:t>
            </w:r>
            <w:proofErr w:type="gramStart"/>
            <w:r w:rsidRPr="0010047E">
              <w:rPr>
                <w:rFonts w:ascii="Times New Roman" w:hAnsi="Times New Roman"/>
                <w:szCs w:val="24"/>
              </w:rPr>
              <w:t>образовательных  учреждениях</w:t>
            </w:r>
            <w:proofErr w:type="gramEnd"/>
            <w:r w:rsidRPr="0010047E">
              <w:rPr>
                <w:rFonts w:ascii="Times New Roman" w:hAnsi="Times New Roman"/>
                <w:szCs w:val="24"/>
              </w:rPr>
              <w:t xml:space="preserve"> на тему профилактики преступлений в сфере информационно-телекоммуникационных технологий</w:t>
            </w:r>
          </w:p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8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Проводить профилактические беседы на тему профилактики преступлений в сфере информационно-телекоммуникационных технологий с членами семей ТЖС пожилого, среднего и несовершеннолетнего  возраста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УСЗ ( 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922BE" w:rsidRPr="00EB184B" w:rsidTr="001922BE">
        <w:trPr>
          <w:trHeight w:val="2277"/>
        </w:trPr>
        <w:tc>
          <w:tcPr>
            <w:tcW w:w="801" w:type="dxa"/>
            <w:vMerge/>
            <w:vAlign w:val="center"/>
          </w:tcPr>
          <w:p w:rsidR="001922B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1922BE" w:rsidRPr="0010047E" w:rsidRDefault="001922BE" w:rsidP="0095247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Размещение информации о порядке действий при совершении в отношении граждан правонарушений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1922BE" w:rsidRPr="0010047E" w:rsidRDefault="001922BE" w:rsidP="008A0F5D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 xml:space="preserve">Отдел инфраструктурного развития Исполнительного комитета </w:t>
            </w:r>
          </w:p>
        </w:tc>
        <w:tc>
          <w:tcPr>
            <w:tcW w:w="1336" w:type="dxa"/>
            <w:gridSpan w:val="2"/>
          </w:tcPr>
          <w:p w:rsidR="001922BE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«Аксубаевская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ООиП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и.т.п.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3. Организация подготовки осужденных к освобождению из мест лишения свободы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 профессиональное обучение и профессиональную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Pr="00EB184B">
              <w:rPr>
                <w:rFonts w:ascii="Times New Roman" w:hAnsi="Times New Roman"/>
                <w:szCs w:val="24"/>
              </w:rPr>
              <w:t xml:space="preserve">подготовку осужденных </w:t>
            </w:r>
            <w:r>
              <w:rPr>
                <w:rFonts w:ascii="Times New Roman" w:hAnsi="Times New Roman"/>
                <w:szCs w:val="24"/>
              </w:rPr>
              <w:t>вернувшихся из мест</w:t>
            </w:r>
            <w:r w:rsidRPr="00EB184B">
              <w:rPr>
                <w:rFonts w:ascii="Times New Roman" w:hAnsi="Times New Roman"/>
                <w:szCs w:val="24"/>
              </w:rPr>
              <w:t xml:space="preserve"> лишени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EB184B">
              <w:rPr>
                <w:rFonts w:ascii="Times New Roman" w:hAnsi="Times New Roman"/>
                <w:szCs w:val="24"/>
              </w:rPr>
              <w:t xml:space="preserve"> свободы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по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и социальной адаптации лиц, освободившихся из мест лишения свободы. </w:t>
            </w:r>
          </w:p>
        </w:tc>
        <w:tc>
          <w:tcPr>
            <w:tcW w:w="1755" w:type="dxa"/>
            <w:gridSpan w:val="2"/>
          </w:tcPr>
          <w:p w:rsidR="00D37197" w:rsidRDefault="00D37197" w:rsidP="00952476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Оказание правовой, социальной, психолого-педагогической, медицинской и иной помощи лицам, ранее преступавшим закон,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D37197" w:rsidRDefault="00D37197" w:rsidP="00D37197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</w:t>
            </w:r>
            <w:r w:rsidR="00BB7424">
              <w:rPr>
                <w:rFonts w:ascii="Times New Roman" w:hAnsi="Times New Roman"/>
                <w:szCs w:val="24"/>
              </w:rPr>
              <w:t>А</w:t>
            </w:r>
            <w:r w:rsidRPr="00EB184B">
              <w:rPr>
                <w:rFonts w:ascii="Times New Roman" w:hAnsi="Times New Roman"/>
                <w:szCs w:val="24"/>
              </w:rPr>
              <w:t>УЗ «</w:t>
            </w:r>
            <w:r>
              <w:rPr>
                <w:rFonts w:ascii="Times New Roman" w:hAnsi="Times New Roman"/>
                <w:szCs w:val="24"/>
              </w:rPr>
              <w:t>Аксубаевская</w:t>
            </w:r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 с представителями религиозных конфессий по работе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Компенсация расходов работодателей по оплате труда при трудоустройстве лиц, освободившихся из </w:t>
            </w:r>
            <w:proofErr w:type="gramStart"/>
            <w:r>
              <w:rPr>
                <w:rFonts w:ascii="Times New Roman" w:hAnsi="Times New Roman"/>
                <w:szCs w:val="24"/>
              </w:rPr>
              <w:t>учреждений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исполняющих наказания в виде лишения свободы</w:t>
            </w:r>
          </w:p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CA0684" w:rsidRPr="00EB184B" w:rsidTr="00CA0684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защищенности  иных объектов.</w:t>
            </w:r>
          </w:p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CA0684" w:rsidRPr="00CA0684" w:rsidRDefault="00935D65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674E6" w:rsidRPr="00EB184B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B37D5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дорожного движения на дорогах местного значения. Рассмотреть вопрос строительства тротуаров в п.г.т. Аксубаево</w:t>
            </w: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Аксубаевского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0D10B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«Аксубаевская ЦРБ», 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«Аксубаевская ЦРБ»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9106A0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«Аксубаевская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«Аксубаевская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ГАУЗ «Аксубаевская ЦРБ», 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3480,0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C674E6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C674E6" w:rsidRDefault="00935D65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6315,3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4380,0</w:t>
            </w:r>
          </w:p>
        </w:tc>
      </w:tr>
      <w:tr w:rsidR="00C674E6" w:rsidRPr="00EB184B" w:rsidTr="00036145">
        <w:tc>
          <w:tcPr>
            <w:tcW w:w="8437" w:type="dxa"/>
            <w:gridSpan w:val="9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2A58AD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033F60" w:rsidP="00033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C674E6" w:rsidRPr="00033F60" w:rsidRDefault="00033F60" w:rsidP="00C674E6">
            <w:pPr>
              <w:jc w:val="center"/>
              <w:rPr>
                <w:rFonts w:ascii="Times New Roman" w:hAnsi="Times New Roman"/>
                <w:szCs w:val="24"/>
              </w:rPr>
            </w:pPr>
            <w:r w:rsidRPr="00033F60">
              <w:rPr>
                <w:rFonts w:ascii="Times New Roman" w:hAnsi="Times New Roman"/>
                <w:szCs w:val="24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5C00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90F35"/>
    <w:rsid w:val="00033F60"/>
    <w:rsid w:val="00036145"/>
    <w:rsid w:val="0010047E"/>
    <w:rsid w:val="001366A6"/>
    <w:rsid w:val="001922BE"/>
    <w:rsid w:val="00212B91"/>
    <w:rsid w:val="002D2086"/>
    <w:rsid w:val="00371894"/>
    <w:rsid w:val="003F78A6"/>
    <w:rsid w:val="00422678"/>
    <w:rsid w:val="004D0801"/>
    <w:rsid w:val="004D31E4"/>
    <w:rsid w:val="00510C0D"/>
    <w:rsid w:val="0058551A"/>
    <w:rsid w:val="005C0050"/>
    <w:rsid w:val="005C7D5A"/>
    <w:rsid w:val="005E242E"/>
    <w:rsid w:val="005E3A7C"/>
    <w:rsid w:val="00655E15"/>
    <w:rsid w:val="00751384"/>
    <w:rsid w:val="00790F35"/>
    <w:rsid w:val="007D113F"/>
    <w:rsid w:val="0086790E"/>
    <w:rsid w:val="008A0F5D"/>
    <w:rsid w:val="008B384E"/>
    <w:rsid w:val="008D1D0B"/>
    <w:rsid w:val="008E69CA"/>
    <w:rsid w:val="00925357"/>
    <w:rsid w:val="00935D65"/>
    <w:rsid w:val="00952476"/>
    <w:rsid w:val="00955AC0"/>
    <w:rsid w:val="0097693B"/>
    <w:rsid w:val="009A1F6B"/>
    <w:rsid w:val="009C751D"/>
    <w:rsid w:val="009F706B"/>
    <w:rsid w:val="00A7212A"/>
    <w:rsid w:val="00A9082D"/>
    <w:rsid w:val="00AA3EB7"/>
    <w:rsid w:val="00B32260"/>
    <w:rsid w:val="00BB7424"/>
    <w:rsid w:val="00BC2259"/>
    <w:rsid w:val="00C674E6"/>
    <w:rsid w:val="00CA0684"/>
    <w:rsid w:val="00CA5543"/>
    <w:rsid w:val="00D37197"/>
    <w:rsid w:val="00D53BED"/>
    <w:rsid w:val="00DA4DC8"/>
    <w:rsid w:val="00DA7B72"/>
    <w:rsid w:val="00DC6405"/>
    <w:rsid w:val="00E60BB9"/>
    <w:rsid w:val="00E61EDB"/>
    <w:rsid w:val="00E7374E"/>
    <w:rsid w:val="00EA0B86"/>
    <w:rsid w:val="00EB4E1C"/>
    <w:rsid w:val="00F054F6"/>
    <w:rsid w:val="00F0699B"/>
    <w:rsid w:val="00F9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AB71"/>
  <w15:docId w15:val="{46B2E451-6517-4D9D-BEE2-5B920BB8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921A-6B7C-4CB4-9E44-268E9493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FORPOST</dc:creator>
  <cp:lastModifiedBy>USER</cp:lastModifiedBy>
  <cp:revision>10</cp:revision>
  <cp:lastPrinted>2023-10-16T07:26:00Z</cp:lastPrinted>
  <dcterms:created xsi:type="dcterms:W3CDTF">2025-05-30T13:41:00Z</dcterms:created>
  <dcterms:modified xsi:type="dcterms:W3CDTF">2025-06-19T11:10:00Z</dcterms:modified>
</cp:coreProperties>
</file>