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0" t="0" r="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ТАТАРСТАН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районы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Емелькино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авылы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6D2F" w:rsidRPr="00796A44" w:rsidRDefault="00B56D2F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851C92">
                        <w:rPr>
                          <w:sz w:val="28"/>
                          <w:szCs w:val="28"/>
                        </w:rPr>
                        <w:t xml:space="preserve">ТАТАРСТАН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Республикасы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районы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беремлеге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Емелькино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авылы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6D2F" w:rsidRPr="00796A44" w:rsidRDefault="00B56D2F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Default="00B56D2F" w:rsidP="00EA2457">
                            <w:pPr>
                              <w:pStyle w:val="20"/>
                            </w:pPr>
                            <w:r>
                              <w:t>Республика ТАТАРСТАН</w:t>
                            </w:r>
                          </w:p>
                          <w:p w:rsidR="00B56D2F" w:rsidRDefault="00B56D2F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муниципальное образование 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Емелькино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Савгачево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56D2F" w:rsidRDefault="00B56D2F" w:rsidP="00EA2457">
                      <w:pPr>
                        <w:pStyle w:val="20"/>
                      </w:pPr>
                      <w:r>
                        <w:t>Республика ТАТАРСТАН</w:t>
                      </w:r>
                    </w:p>
                    <w:p w:rsidR="00B56D2F" w:rsidRDefault="00B56D2F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муниципальное образование 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Емелькино</w:t>
                      </w:r>
                      <w:proofErr w:type="spellEnd"/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Савгачево</w:t>
                      </w:r>
                      <w:proofErr w:type="spellEnd"/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582C30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87503F" w:rsidRDefault="00F52621" w:rsidP="00EA2457">
      <w:pPr>
        <w:tabs>
          <w:tab w:val="left" w:pos="5670"/>
        </w:tabs>
        <w:jc w:val="center"/>
        <w:rPr>
          <w:b/>
          <w:sz w:val="32"/>
          <w:szCs w:val="32"/>
        </w:rPr>
      </w:pPr>
      <w:r w:rsidRPr="0087503F">
        <w:rPr>
          <w:b/>
          <w:sz w:val="32"/>
          <w:szCs w:val="32"/>
        </w:rPr>
        <w:t>Совет</w:t>
      </w:r>
      <w:r w:rsidR="00BC3CDE" w:rsidRPr="0087503F">
        <w:rPr>
          <w:b/>
          <w:sz w:val="32"/>
          <w:szCs w:val="32"/>
        </w:rPr>
        <w:t xml:space="preserve"> </w:t>
      </w:r>
      <w:proofErr w:type="spellStart"/>
      <w:r w:rsidR="00BC3CDE" w:rsidRPr="0087503F">
        <w:rPr>
          <w:b/>
          <w:sz w:val="32"/>
          <w:szCs w:val="32"/>
        </w:rPr>
        <w:t>Емелькинского</w:t>
      </w:r>
      <w:proofErr w:type="spellEnd"/>
      <w:r w:rsidR="00EA2457" w:rsidRPr="0087503F">
        <w:rPr>
          <w:b/>
          <w:sz w:val="32"/>
          <w:szCs w:val="32"/>
        </w:rPr>
        <w:t xml:space="preserve"> сельско</w:t>
      </w:r>
      <w:r w:rsidR="00BC3CDE" w:rsidRPr="0087503F">
        <w:rPr>
          <w:b/>
          <w:sz w:val="32"/>
          <w:szCs w:val="32"/>
        </w:rPr>
        <w:t>го</w:t>
      </w:r>
      <w:r w:rsidR="00EA2457" w:rsidRPr="0087503F">
        <w:rPr>
          <w:b/>
          <w:sz w:val="32"/>
          <w:szCs w:val="32"/>
        </w:rPr>
        <w:t xml:space="preserve"> поселени</w:t>
      </w:r>
      <w:r w:rsidR="00BC3CDE" w:rsidRPr="0087503F">
        <w:rPr>
          <w:b/>
          <w:sz w:val="32"/>
          <w:szCs w:val="32"/>
        </w:rPr>
        <w:t>я</w:t>
      </w: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34291</wp:posOffset>
                </wp:positionV>
                <wp:extent cx="667639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68F" w:rsidRDefault="00B56D2F" w:rsidP="0025268F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423056, Республика Татарстан, Аксубаевский муниципальный район, село </w:t>
                            </w:r>
                            <w:proofErr w:type="spellStart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Емелькино</w:t>
                            </w:r>
                            <w:proofErr w:type="spellEnd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B56D2F" w:rsidRPr="00BC3CDE" w:rsidRDefault="00B56D2F" w:rsidP="0025268F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ул. Центральная д.16</w:t>
                            </w:r>
                          </w:p>
                          <w:p w:rsidR="00B56D2F" w:rsidRPr="00BC3CDE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Тел.(8-84344-4-76-22) ОГРН 10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21605364980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, ОКПО 94318599,ИНН/КПП 160300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0796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/160</w:t>
                            </w:r>
                            <w:r w:rsidRPr="005D5D0C"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301001</w:t>
                            </w: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>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ксубаево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Ил СП</w:t>
                            </w: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05pt;margin-top:2.7pt;width:525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zu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8j9+lYKrAFiezJHC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" filled="f" stroked="f">
                <v:textbox>
                  <w:txbxContent>
                    <w:p w:rsidR="0025268F" w:rsidRDefault="00B56D2F" w:rsidP="0025268F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423056, Республика Татарстан, Аксубаевский муниципальный район, село </w:t>
                      </w:r>
                      <w:proofErr w:type="spellStart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Емелькино</w:t>
                      </w:r>
                      <w:proofErr w:type="spellEnd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B56D2F" w:rsidRPr="00BC3CDE" w:rsidRDefault="00B56D2F" w:rsidP="0025268F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ул. Центральная д.16</w:t>
                      </w:r>
                    </w:p>
                    <w:p w:rsidR="00B56D2F" w:rsidRPr="00BC3CDE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Тел.(8-84344-4-76-22) ОГРН 10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21605364980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, ОКПО 94318599,ИНН/КПП 160300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0796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/160</w:t>
                      </w:r>
                      <w:r w:rsidRPr="005D5D0C">
                        <w:rPr>
                          <w:b w:val="0"/>
                          <w:sz w:val="24"/>
                          <w:szCs w:val="24"/>
                          <w:u w:val="single"/>
                        </w:rPr>
                        <w:t>301001</w:t>
                      </w: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>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р.п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ксубаево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 xml:space="preserve"> Ил СП</w:t>
                      </w: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4120C6" w:rsidRDefault="004120C6" w:rsidP="005D5D0C">
      <w:pPr>
        <w:jc w:val="center"/>
        <w:rPr>
          <w:rFonts w:ascii="Arial" w:hAnsi="Arial" w:cs="Arial"/>
          <w:b/>
          <w:sz w:val="24"/>
          <w:szCs w:val="24"/>
        </w:rPr>
      </w:pPr>
    </w:p>
    <w:p w:rsidR="0043654F" w:rsidRDefault="0043654F" w:rsidP="0043654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53DFC">
        <w:rPr>
          <w:rFonts w:ascii="Arial" w:hAnsi="Arial" w:cs="Arial"/>
          <w:b/>
          <w:noProof/>
          <w:sz w:val="24"/>
          <w:szCs w:val="24"/>
        </w:rPr>
        <w:t>РЕШЕНИЕ</w:t>
      </w:r>
    </w:p>
    <w:p w:rsidR="0025268F" w:rsidRPr="00953DFC" w:rsidRDefault="0025268F" w:rsidP="0043654F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3654F" w:rsidRDefault="0043654F" w:rsidP="0043654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              №  </w:t>
      </w:r>
      <w:r w:rsidR="00784211">
        <w:rPr>
          <w:rFonts w:ascii="Arial" w:hAnsi="Arial" w:cs="Arial"/>
          <w:sz w:val="24"/>
          <w:szCs w:val="24"/>
        </w:rPr>
        <w:t>7</w:t>
      </w:r>
      <w:r w:rsidR="0025268F">
        <w:rPr>
          <w:rFonts w:ascii="Arial" w:hAnsi="Arial" w:cs="Arial"/>
          <w:sz w:val="24"/>
          <w:szCs w:val="24"/>
        </w:rPr>
        <w:t>6</w:t>
      </w:r>
      <w:r w:rsidRPr="00953DFC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784211">
        <w:rPr>
          <w:rFonts w:ascii="Arial" w:hAnsi="Arial" w:cs="Arial"/>
          <w:sz w:val="24"/>
          <w:szCs w:val="24"/>
        </w:rPr>
        <w:t>24</w:t>
      </w:r>
      <w:r w:rsidR="004B764E" w:rsidRPr="00953DFC">
        <w:rPr>
          <w:rFonts w:ascii="Arial" w:hAnsi="Arial" w:cs="Arial"/>
          <w:sz w:val="24"/>
          <w:szCs w:val="24"/>
        </w:rPr>
        <w:t xml:space="preserve"> января </w:t>
      </w:r>
      <w:r w:rsidR="00135EDE" w:rsidRPr="00953DFC">
        <w:rPr>
          <w:rFonts w:ascii="Arial" w:hAnsi="Arial" w:cs="Arial"/>
          <w:sz w:val="24"/>
          <w:szCs w:val="24"/>
        </w:rPr>
        <w:t>2</w:t>
      </w:r>
      <w:r w:rsidRPr="00953DFC">
        <w:rPr>
          <w:rFonts w:ascii="Arial" w:hAnsi="Arial" w:cs="Arial"/>
          <w:sz w:val="24"/>
          <w:szCs w:val="24"/>
        </w:rPr>
        <w:t>02</w:t>
      </w:r>
      <w:r w:rsidR="00135EDE" w:rsidRPr="00953DFC">
        <w:rPr>
          <w:rFonts w:ascii="Arial" w:hAnsi="Arial" w:cs="Arial"/>
          <w:sz w:val="24"/>
          <w:szCs w:val="24"/>
        </w:rPr>
        <w:t>3</w:t>
      </w:r>
      <w:r w:rsidRPr="00953DFC">
        <w:rPr>
          <w:rFonts w:ascii="Arial" w:hAnsi="Arial" w:cs="Arial"/>
          <w:sz w:val="24"/>
          <w:szCs w:val="24"/>
        </w:rPr>
        <w:t xml:space="preserve"> года</w:t>
      </w:r>
    </w:p>
    <w:p w:rsidR="0025268F" w:rsidRDefault="0025268F" w:rsidP="0043654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68F" w:rsidRDefault="0025268F" w:rsidP="0025268F">
      <w:pPr>
        <w:pStyle w:val="1"/>
        <w:shd w:val="clear" w:color="auto" w:fill="FFFFFF"/>
        <w:spacing w:before="150" w:after="150" w:line="330" w:lineRule="atLeast"/>
        <w:jc w:val="both"/>
        <w:rPr>
          <w:b w:val="0"/>
          <w:szCs w:val="28"/>
        </w:rPr>
      </w:pPr>
      <w:r>
        <w:t> </w:t>
      </w:r>
      <w:r>
        <w:tab/>
      </w:r>
      <w:proofErr w:type="gramStart"/>
      <w:r>
        <w:rPr>
          <w:b w:val="0"/>
        </w:rPr>
        <w:t>В соответствии с Постановлением Правительства РФ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статьи 53 Федерального закона от 06 октября 2003года № 131 –ФЗ «Об общих принципах организации местного самоуправления в Российской Федерации», статьей 144 Трудового кодекса Российс</w:t>
      </w:r>
      <w:bookmarkStart w:id="0" w:name="_GoBack"/>
      <w:bookmarkEnd w:id="0"/>
      <w:r>
        <w:rPr>
          <w:b w:val="0"/>
        </w:rPr>
        <w:t xml:space="preserve">кой Федерации, </w:t>
      </w:r>
      <w:r>
        <w:rPr>
          <w:b w:val="0"/>
          <w:kern w:val="36"/>
        </w:rPr>
        <w:t xml:space="preserve"> приказом Министра обороны РФ от 18.09.2019 № 545 «</w:t>
      </w:r>
      <w:r>
        <w:rPr>
          <w:b w:val="0"/>
        </w:rPr>
        <w:t>О</w:t>
      </w:r>
      <w:proofErr w:type="gramEnd"/>
      <w:r>
        <w:rPr>
          <w:b w:val="0"/>
        </w:rPr>
        <w:t xml:space="preserve"> системе оплаты труда гражданского персонала (работников) воинских частей и организаций Вооруженных Сил Российской Федерации»</w:t>
      </w:r>
      <w:r>
        <w:t xml:space="preserve">,  </w:t>
      </w:r>
      <w:r>
        <w:rPr>
          <w:b w:val="0"/>
        </w:rPr>
        <w:t xml:space="preserve">Совет </w:t>
      </w:r>
      <w:proofErr w:type="spellStart"/>
      <w:r>
        <w:rPr>
          <w:b w:val="0"/>
        </w:rPr>
        <w:t>Емелькинского</w:t>
      </w:r>
      <w:proofErr w:type="spellEnd"/>
      <w:r>
        <w:rPr>
          <w:b w:val="0"/>
        </w:rPr>
        <w:t xml:space="preserve"> сельского поселения Аксубаевского муниципального района Республики Татарстан РЕШИЛ: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специалистов по воинскому учету, осуществляющих первичный воинский учет на территориях, где отсутствуют военные комиссариаты.</w:t>
      </w:r>
    </w:p>
    <w:p w:rsidR="0025268F" w:rsidRDefault="0025268F" w:rsidP="0025268F">
      <w:pPr>
        <w:pStyle w:val="bodytextinden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 действие на правоотношения, возникшие с 1 января 2023 года, и подлежат опубликованию на официальном сайте Аксубаевского муниципального района Республики Татарстан. </w:t>
      </w:r>
    </w:p>
    <w:p w:rsidR="0025268F" w:rsidRDefault="0025268F" w:rsidP="0025268F">
      <w:pPr>
        <w:pStyle w:val="bodytextindent3"/>
        <w:jc w:val="both"/>
      </w:pPr>
      <w:r>
        <w:rPr>
          <w:sz w:val="28"/>
          <w:szCs w:val="28"/>
        </w:rPr>
        <w:t xml:space="preserve">3. Контроль за исполнение настоящего решения возложить на главу </w:t>
      </w:r>
      <w:proofErr w:type="spellStart"/>
      <w:r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t xml:space="preserve"> </w:t>
      </w:r>
    </w:p>
    <w:p w:rsidR="0025268F" w:rsidRDefault="0025268F" w:rsidP="0025268F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25268F" w:rsidRDefault="0025268F" w:rsidP="0025268F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25268F" w:rsidRDefault="0025268F" w:rsidP="0025268F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 </w:t>
      </w:r>
    </w:p>
    <w:p w:rsidR="0025268F" w:rsidRDefault="0025268F" w:rsidP="0025268F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Аксубаевского </w:t>
      </w:r>
    </w:p>
    <w:p w:rsidR="0025268F" w:rsidRDefault="0025268F" w:rsidP="0025268F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 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Н.И.Михайлова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                                                   </w:t>
      </w: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proofErr w:type="spellStart"/>
      <w:r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Аксубаевского муниципального района РТ</w:t>
      </w:r>
    </w:p>
    <w:p w:rsidR="0025268F" w:rsidRDefault="0025268F" w:rsidP="0025268F">
      <w:pPr>
        <w:pStyle w:val="consplusnormal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24 января 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76</w:t>
      </w:r>
    </w:p>
    <w:p w:rsidR="0025268F" w:rsidRDefault="0025268F" w:rsidP="0025268F">
      <w:pPr>
        <w:pStyle w:val="consplusnormal0"/>
        <w:jc w:val="right"/>
        <w:rPr>
          <w:sz w:val="28"/>
          <w:szCs w:val="28"/>
        </w:rPr>
      </w:pPr>
    </w:p>
    <w:p w:rsidR="0025268F" w:rsidRDefault="0025268F" w:rsidP="0025268F">
      <w:pPr>
        <w:pStyle w:val="consplusnormal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25268F" w:rsidRDefault="0025268F" w:rsidP="0025268F">
      <w:pPr>
        <w:pStyle w:val="consplusnormal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оплате труда специалистов по воинскому учету, осуществляющих первичный воинский учет на территориях, где отсутствуют военные комиссариаты</w:t>
      </w:r>
    </w:p>
    <w:p w:rsidR="0025268F" w:rsidRDefault="0025268F" w:rsidP="0025268F">
      <w:pPr>
        <w:pStyle w:val="consplusnormal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Настоящее Положение регулирует порядок оплаты труда </w:t>
      </w:r>
      <w:r>
        <w:rPr>
          <w:sz w:val="28"/>
          <w:szCs w:val="28"/>
        </w:rPr>
        <w:br/>
        <w:t xml:space="preserve">военно-учетных работников поселения, осуществляющих полномочия по первичному воинскому учету на территориях, где отсутствуют военные комиссариаты. 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применяется при определении заработной платы специалиста по воинскому учету, выполняющего обязанности по  осуществляющего первичный воинский учет на территориях, где отсутствуют военные комиссариаты.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Фонд оплаты труда военно-учетного работника формируется на календарный год, исходя из объема субвенций из федерального бюджета, передаваемых поселению. 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4. Размеры надбавок устанавливаются в пределах выделенных средств на оплату труда.</w:t>
      </w:r>
    </w:p>
    <w:p w:rsidR="0025268F" w:rsidRDefault="0025268F" w:rsidP="0025268F">
      <w:pPr>
        <w:pStyle w:val="a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и условия оплаты труда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специалистов, осуществляющих первичный воинский учет на территориях, где отсутствуют военные комиссариаты, </w:t>
      </w:r>
      <w:proofErr w:type="gramStart"/>
      <w:r>
        <w:rPr>
          <w:sz w:val="28"/>
          <w:szCs w:val="28"/>
        </w:rPr>
        <w:t>производится в соответствии с настоящим Положением и состоит</w:t>
      </w:r>
      <w:proofErr w:type="gramEnd"/>
      <w:r>
        <w:rPr>
          <w:sz w:val="28"/>
          <w:szCs w:val="28"/>
        </w:rPr>
        <w:t xml:space="preserve"> из месячного должностного оклада (далее - должностной оклад), компенсационных выплат и выплат стимулирующего характера.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2. Для работников воинского учета,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Размер должностного оклада военно-учетного работника установить от оклада, приравненного к окладу инспектора, в соответствии с </w:t>
      </w:r>
      <w:r>
        <w:rPr>
          <w:kern w:val="36"/>
          <w:sz w:val="28"/>
          <w:szCs w:val="28"/>
        </w:rPr>
        <w:t>приказом Министра обороны РФ от 18.09.2019 № 545 «</w:t>
      </w:r>
      <w:r>
        <w:rPr>
          <w:sz w:val="28"/>
          <w:szCs w:val="28"/>
        </w:rPr>
        <w:t>О системе оплаты труда гражданского персонала (работников) воинских частей и организаций Вооруженных Сил Российской Федерации».</w:t>
      </w:r>
    </w:p>
    <w:tbl>
      <w:tblPr>
        <w:tblW w:w="9360" w:type="dxa"/>
        <w:tblCellSpacing w:w="15" w:type="dxa"/>
        <w:tblLook w:val="04A0" w:firstRow="1" w:lastRow="0" w:firstColumn="1" w:lastColumn="0" w:noHBand="0" w:noVBand="1"/>
      </w:tblPr>
      <w:tblGrid>
        <w:gridCol w:w="6363"/>
        <w:gridCol w:w="2997"/>
      </w:tblGrid>
      <w:tr w:rsidR="0025268F" w:rsidTr="0025268F">
        <w:trPr>
          <w:tblCellSpacing w:w="15" w:type="dxa"/>
        </w:trPr>
        <w:tc>
          <w:tcPr>
            <w:tcW w:w="6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8F" w:rsidRDefault="002526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8F" w:rsidRDefault="002526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5268F" w:rsidTr="0025268F">
        <w:trPr>
          <w:tblCellSpacing w:w="15" w:type="dxa"/>
        </w:trPr>
        <w:tc>
          <w:tcPr>
            <w:tcW w:w="6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8F" w:rsidRDefault="002526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8F" w:rsidRDefault="002526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268F" w:rsidTr="0025268F">
        <w:trPr>
          <w:tblCellSpacing w:w="15" w:type="dxa"/>
        </w:trPr>
        <w:tc>
          <w:tcPr>
            <w:tcW w:w="6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8F" w:rsidRDefault="002526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ведению воинского учета 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8F" w:rsidRDefault="002526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6 840,00</w:t>
            </w:r>
          </w:p>
        </w:tc>
      </w:tr>
    </w:tbl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со ст.282,284,285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 Военно-учетному работнику, выполняющему обязанности по совместительству с учетом количества граждан, состоящих на воинском учете, устанавливаются следующие должностные оклады:</w:t>
      </w:r>
    </w:p>
    <w:p w:rsidR="0025268F" w:rsidRDefault="0025268F" w:rsidP="0025268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при нахождении на воинском учете до 400 граждан – 40% от должностного оклада освобожденного военно-учетного работника.</w:t>
      </w:r>
    </w:p>
    <w:p w:rsidR="0025268F" w:rsidRDefault="0025268F" w:rsidP="0025268F">
      <w:pPr>
        <w:pStyle w:val="ae"/>
        <w:rPr>
          <w:sz w:val="28"/>
          <w:szCs w:val="28"/>
        </w:rPr>
      </w:pPr>
      <w:r>
        <w:rPr>
          <w:sz w:val="28"/>
          <w:szCs w:val="28"/>
        </w:rPr>
        <w:t>5. Работнику производятся следующие выплаты:</w:t>
      </w:r>
    </w:p>
    <w:p w:rsidR="0025268F" w:rsidRDefault="0025268F" w:rsidP="002526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ежемесячная надбавка к должностному окладу за  выслугу лет в следующих размерах:</w:t>
      </w:r>
    </w:p>
    <w:p w:rsidR="0025268F" w:rsidRDefault="0025268F" w:rsidP="0025268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 года – 5 процентов;</w:t>
      </w:r>
    </w:p>
    <w:p w:rsidR="0025268F" w:rsidRDefault="0025268F" w:rsidP="0025268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2 лет – 10 процентов;</w:t>
      </w:r>
    </w:p>
    <w:p w:rsidR="0025268F" w:rsidRDefault="0025268F" w:rsidP="0025268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3 лет – 15 процентов;</w:t>
      </w:r>
    </w:p>
    <w:p w:rsidR="0025268F" w:rsidRDefault="0025268F" w:rsidP="0025268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5 лет – 20 процентов;</w:t>
      </w:r>
    </w:p>
    <w:p w:rsidR="0025268F" w:rsidRDefault="0025268F" w:rsidP="0025268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10 лет – 30 процентов;</w:t>
      </w:r>
    </w:p>
    <w:p w:rsidR="0025268F" w:rsidRDefault="0025268F" w:rsidP="0025268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15 лет – 40 процентов.</w:t>
      </w:r>
    </w:p>
    <w:p w:rsidR="0025268F" w:rsidRDefault="0025268F" w:rsidP="0025268F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Периоды, учитываемые при исчислении стажа работы, дающего право на установление ежемесячной надбавки за выслугу лет, </w:t>
      </w:r>
      <w:proofErr w:type="gramStart"/>
      <w:r>
        <w:rPr>
          <w:sz w:val="28"/>
          <w:szCs w:val="28"/>
        </w:rPr>
        <w:t>устанавливаются в календарном исчислении и суммируются</w:t>
      </w:r>
      <w:proofErr w:type="gramEnd"/>
      <w:r>
        <w:rPr>
          <w:sz w:val="28"/>
          <w:szCs w:val="28"/>
        </w:rPr>
        <w:t xml:space="preserve"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подтверждение стажа работы (службы) работником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 Ежемесячная надбавка за выслугу лет </w:t>
      </w:r>
      <w:proofErr w:type="gramStart"/>
      <w:r>
        <w:rPr>
          <w:sz w:val="28"/>
          <w:szCs w:val="28"/>
        </w:rPr>
        <w:t>устанавливается и выплачивается</w:t>
      </w:r>
      <w:proofErr w:type="gramEnd"/>
      <w:r>
        <w:rPr>
          <w:sz w:val="28"/>
          <w:szCs w:val="28"/>
        </w:rPr>
        <w:t xml:space="preserve"> с момента возникновения права на назначение или повышение размера данной надбавки. </w:t>
      </w:r>
    </w:p>
    <w:p w:rsidR="0025268F" w:rsidRDefault="0025268F" w:rsidP="0025268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своевременный пересмотр размера ежемесячной надбавки за выслугу лет возлагается на сотрудника, ответственного за кадровую работу. Назначение ежемесячной надбавки за выслугу лет оформляется приказом руководителя организации;</w:t>
      </w:r>
    </w:p>
    <w:p w:rsidR="0025268F" w:rsidRDefault="0025268F" w:rsidP="0025268F">
      <w:pPr>
        <w:ind w:firstLine="708"/>
        <w:jc w:val="both"/>
        <w:rPr>
          <w:color w:val="000000"/>
          <w:sz w:val="28"/>
          <w:szCs w:val="28"/>
        </w:rPr>
      </w:pPr>
    </w:p>
    <w:p w:rsidR="0025268F" w:rsidRDefault="0025268F" w:rsidP="002526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денежное вознаграждение за добросовестное выполнение должностных обязанностей из расчета двух должностных окладов в год.</w:t>
      </w:r>
    </w:p>
    <w:p w:rsidR="0025268F" w:rsidRDefault="0025268F" w:rsidP="0025268F">
      <w:pPr>
        <w:shd w:val="clear" w:color="auto" w:fill="FFFFFF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Е</w:t>
      </w:r>
      <w:r>
        <w:rPr>
          <w:sz w:val="28"/>
          <w:szCs w:val="28"/>
          <w:shd w:val="clear" w:color="auto" w:fill="FFFFFF"/>
        </w:rPr>
        <w:t>диновременное денежное вознаграждение за добросовестное выполнение должностных обязанностей может выплачиваться ежемесячно или  по итогам календарного года пропорционально отработанному времени. Основанием для выплаты вознаграждения по итогам года является приказ руководителя организации; </w:t>
      </w:r>
    </w:p>
    <w:p w:rsidR="0025268F" w:rsidRDefault="0025268F" w:rsidP="0025268F">
      <w:pPr>
        <w:shd w:val="clear" w:color="auto" w:fill="FFFFFF"/>
        <w:jc w:val="both"/>
        <w:rPr>
          <w:sz w:val="28"/>
          <w:szCs w:val="28"/>
        </w:rPr>
      </w:pPr>
    </w:p>
    <w:p w:rsidR="0025268F" w:rsidRDefault="0025268F" w:rsidP="0025268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ежемесячная выплата за работу в местностях с особыми климатическими условиями. В соответствии с </w:t>
      </w:r>
      <w:r>
        <w:rPr>
          <w:kern w:val="36"/>
          <w:sz w:val="28"/>
          <w:szCs w:val="28"/>
        </w:rPr>
        <w:t xml:space="preserve">приказом Министра обороны РФ от 18.09.2019 № 545 </w:t>
      </w:r>
      <w:r>
        <w:rPr>
          <w:kern w:val="36"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О системе оплаты труда гражданского персонала (работников) воинских частей и организаций Вооруженных Сил Российской Федерации» размер районного коэффициента для Республики Татарстан составляет 1,15; </w:t>
      </w:r>
    </w:p>
    <w:p w:rsidR="0025268F" w:rsidRDefault="0025268F" w:rsidP="0025268F">
      <w:pPr>
        <w:shd w:val="clear" w:color="auto" w:fill="FFFFFF"/>
        <w:spacing w:after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иные выплаты (премии, материальная помощь и другие стимулирующие выплаты), 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труда.</w:t>
      </w:r>
      <w:r>
        <w:rPr>
          <w:color w:val="464C55"/>
        </w:rPr>
        <w:t xml:space="preserve"> </w:t>
      </w:r>
      <w:r>
        <w:rPr>
          <w:sz w:val="28"/>
          <w:szCs w:val="28"/>
        </w:rPr>
        <w:t xml:space="preserve">Премия по результатам работы и другие стимулирующие выплаты выплачиваются на основании приказа руководителя организаций. </w:t>
      </w:r>
    </w:p>
    <w:p w:rsidR="0025268F" w:rsidRDefault="0025268F" w:rsidP="0025268F">
      <w:pPr>
        <w:pStyle w:val="a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Отпуск специалисту по воинскому учету</w:t>
      </w:r>
    </w:p>
    <w:p w:rsidR="0025268F" w:rsidRDefault="0025268F" w:rsidP="0025268F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Специалисту по воинскому учету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25268F" w:rsidRDefault="0025268F" w:rsidP="0025268F">
      <w:pPr>
        <w:shd w:val="clear" w:color="auto" w:fill="FFFFFF"/>
        <w:spacing w:after="300"/>
        <w:rPr>
          <w:rFonts w:ascii="Arial" w:hAnsi="Arial" w:cs="Arial"/>
          <w:color w:val="000000"/>
          <w:sz w:val="21"/>
          <w:szCs w:val="21"/>
        </w:rPr>
      </w:pPr>
    </w:p>
    <w:p w:rsidR="0025268F" w:rsidRDefault="0025268F" w:rsidP="0043654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68F" w:rsidRDefault="0025268F" w:rsidP="0043654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68F" w:rsidRPr="00953DFC" w:rsidRDefault="0025268F" w:rsidP="0043654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654F" w:rsidRPr="00953DFC" w:rsidRDefault="0043654F" w:rsidP="0043654F">
      <w:pPr>
        <w:ind w:left="708" w:firstLine="708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 </w:t>
      </w:r>
    </w:p>
    <w:p w:rsidR="0043654F" w:rsidRDefault="0043654F" w:rsidP="0043654F">
      <w:pPr>
        <w:rPr>
          <w:rFonts w:ascii="Arial" w:hAnsi="Arial" w:cs="Arial"/>
          <w:b/>
          <w:sz w:val="24"/>
          <w:szCs w:val="24"/>
        </w:rPr>
      </w:pPr>
    </w:p>
    <w:sectPr w:rsidR="0043654F" w:rsidSect="0025268F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650"/>
    <w:multiLevelType w:val="hybridMultilevel"/>
    <w:tmpl w:val="37807E5A"/>
    <w:lvl w:ilvl="0" w:tplc="20C0C4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7E5629"/>
    <w:multiLevelType w:val="hybridMultilevel"/>
    <w:tmpl w:val="2FA05A62"/>
    <w:lvl w:ilvl="0" w:tplc="D98A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7129"/>
    <w:multiLevelType w:val="multilevel"/>
    <w:tmpl w:val="F0384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6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1391D"/>
    <w:multiLevelType w:val="multilevel"/>
    <w:tmpl w:val="4A6466F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131" w:hanging="720"/>
      </w:p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229" w:hanging="108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</w:lvl>
  </w:abstractNum>
  <w:abstractNum w:abstractNumId="8">
    <w:nsid w:val="7B041DEA"/>
    <w:multiLevelType w:val="hybridMultilevel"/>
    <w:tmpl w:val="DA02020A"/>
    <w:lvl w:ilvl="0" w:tplc="1CC0414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5"/>
    <w:rsid w:val="0000126A"/>
    <w:rsid w:val="00057FC4"/>
    <w:rsid w:val="000A7894"/>
    <w:rsid w:val="000C1811"/>
    <w:rsid w:val="000C2736"/>
    <w:rsid w:val="000D6F29"/>
    <w:rsid w:val="00127A61"/>
    <w:rsid w:val="00135EDE"/>
    <w:rsid w:val="00137F79"/>
    <w:rsid w:val="0014721E"/>
    <w:rsid w:val="001555A3"/>
    <w:rsid w:val="001935AD"/>
    <w:rsid w:val="001A1DAB"/>
    <w:rsid w:val="001C2442"/>
    <w:rsid w:val="001E2211"/>
    <w:rsid w:val="001E335A"/>
    <w:rsid w:val="00217480"/>
    <w:rsid w:val="00223AA1"/>
    <w:rsid w:val="002245BC"/>
    <w:rsid w:val="002276E6"/>
    <w:rsid w:val="0025268F"/>
    <w:rsid w:val="00282058"/>
    <w:rsid w:val="002976A5"/>
    <w:rsid w:val="002B6969"/>
    <w:rsid w:val="002B69DF"/>
    <w:rsid w:val="002D5CE7"/>
    <w:rsid w:val="002E4681"/>
    <w:rsid w:val="002F21E6"/>
    <w:rsid w:val="00332B4A"/>
    <w:rsid w:val="00333E19"/>
    <w:rsid w:val="003570D3"/>
    <w:rsid w:val="0036200A"/>
    <w:rsid w:val="003D2B09"/>
    <w:rsid w:val="003E4FBC"/>
    <w:rsid w:val="00410802"/>
    <w:rsid w:val="004120C6"/>
    <w:rsid w:val="00424FB9"/>
    <w:rsid w:val="0043654F"/>
    <w:rsid w:val="0048562F"/>
    <w:rsid w:val="00496C7C"/>
    <w:rsid w:val="004A7FC3"/>
    <w:rsid w:val="004B764E"/>
    <w:rsid w:val="004C536B"/>
    <w:rsid w:val="004C6D78"/>
    <w:rsid w:val="004D3EB5"/>
    <w:rsid w:val="004D7D4A"/>
    <w:rsid w:val="004F086F"/>
    <w:rsid w:val="00537F02"/>
    <w:rsid w:val="00553C2F"/>
    <w:rsid w:val="0055600A"/>
    <w:rsid w:val="00582C30"/>
    <w:rsid w:val="005C15DA"/>
    <w:rsid w:val="005C3117"/>
    <w:rsid w:val="005D5D0C"/>
    <w:rsid w:val="005D5D55"/>
    <w:rsid w:val="005D6DA1"/>
    <w:rsid w:val="0061254B"/>
    <w:rsid w:val="006301AB"/>
    <w:rsid w:val="006A025F"/>
    <w:rsid w:val="0070430E"/>
    <w:rsid w:val="0071609B"/>
    <w:rsid w:val="007574D1"/>
    <w:rsid w:val="00784211"/>
    <w:rsid w:val="00784713"/>
    <w:rsid w:val="007B6B40"/>
    <w:rsid w:val="0081726A"/>
    <w:rsid w:val="00826D13"/>
    <w:rsid w:val="00851C92"/>
    <w:rsid w:val="0087503F"/>
    <w:rsid w:val="00882B0C"/>
    <w:rsid w:val="0092788B"/>
    <w:rsid w:val="00940B23"/>
    <w:rsid w:val="00953DFC"/>
    <w:rsid w:val="009570A2"/>
    <w:rsid w:val="0098050D"/>
    <w:rsid w:val="009B629E"/>
    <w:rsid w:val="009E421A"/>
    <w:rsid w:val="00A13B63"/>
    <w:rsid w:val="00AB1BB3"/>
    <w:rsid w:val="00B215D5"/>
    <w:rsid w:val="00B43A30"/>
    <w:rsid w:val="00B55A6B"/>
    <w:rsid w:val="00B56D2F"/>
    <w:rsid w:val="00B752EE"/>
    <w:rsid w:val="00BC3CDE"/>
    <w:rsid w:val="00BE0431"/>
    <w:rsid w:val="00BE1DDF"/>
    <w:rsid w:val="00BE3F0F"/>
    <w:rsid w:val="00C536A5"/>
    <w:rsid w:val="00C72789"/>
    <w:rsid w:val="00C81046"/>
    <w:rsid w:val="00CB4D1E"/>
    <w:rsid w:val="00CD4664"/>
    <w:rsid w:val="00D03DDD"/>
    <w:rsid w:val="00D43C7E"/>
    <w:rsid w:val="00D47EA2"/>
    <w:rsid w:val="00D54C35"/>
    <w:rsid w:val="00D83CEF"/>
    <w:rsid w:val="00D91CC7"/>
    <w:rsid w:val="00DC7BA2"/>
    <w:rsid w:val="00E2504A"/>
    <w:rsid w:val="00E27530"/>
    <w:rsid w:val="00E52527"/>
    <w:rsid w:val="00E7330A"/>
    <w:rsid w:val="00EA2457"/>
    <w:rsid w:val="00ED65E1"/>
    <w:rsid w:val="00F52621"/>
    <w:rsid w:val="00F57A59"/>
    <w:rsid w:val="00F959FB"/>
    <w:rsid w:val="00FC2428"/>
    <w:rsid w:val="00FD6AC8"/>
    <w:rsid w:val="00FE6EF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uiPriority w:val="9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252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uiPriority w:val="99"/>
    <w:rsid w:val="00252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2526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uiPriority w:val="9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252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uiPriority w:val="99"/>
    <w:rsid w:val="00252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2526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6846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consultantplus://offline/ref=3CE94335765DA73F18AEF99618546ADAB9528A16902A867A3E57F85597A4183483636E028C11B9B6C8C55A99E89799188A0DE8F0A6BE8195rAg0H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consultantplus://offline/ref=3CE94335765DA73F18AEF99618546ADAB9528A16902A867A3E57F85597A4183483636E028C11B9B6C9C55A99E89799188A0DE8F0A6BE8195rAg0H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consultantplus://offline/ref=3CE94335765DA73F18AEF99618546ADAB9508C1F9B26867A3E57F85597A418349163360E8D10A4B2C3D00CC8AErCg3H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consultantplus://offline/ref=3CE94335765DA73F18AEF99618546ADAB9558E1E952A867A3E57F85597A4183483636E028D10BFB9959F4A9DA1C395078B11F6F0B8BEr8g0H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Emel</cp:lastModifiedBy>
  <cp:revision>43</cp:revision>
  <cp:lastPrinted>2024-01-25T05:45:00Z</cp:lastPrinted>
  <dcterms:created xsi:type="dcterms:W3CDTF">2021-03-01T07:29:00Z</dcterms:created>
  <dcterms:modified xsi:type="dcterms:W3CDTF">2024-01-25T05:46:00Z</dcterms:modified>
</cp:coreProperties>
</file>