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E8" w:rsidRPr="007526E8" w:rsidRDefault="007526E8" w:rsidP="007526E8">
      <w:pPr>
        <w:spacing w:after="100" w:afterAutospacing="1" w:line="240" w:lineRule="auto"/>
        <w:outlineLvl w:val="0"/>
        <w:rPr>
          <w:rFonts w:ascii="Trebuchet MS" w:eastAsia="Times New Roman" w:hAnsi="Trebuchet MS" w:cs="Times New Roman"/>
          <w:color w:val="353535"/>
          <w:kern w:val="36"/>
          <w:sz w:val="45"/>
          <w:szCs w:val="45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kern w:val="36"/>
          <w:sz w:val="45"/>
          <w:szCs w:val="45"/>
          <w:lang w:eastAsia="ru-RU"/>
        </w:rPr>
        <w:t>Ответственность за заведомо ложное сообщение о готовящемся взрыве</w:t>
      </w:r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Выписка из Уголовного Кодекса Российской Федерации</w:t>
      </w:r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1. </w:t>
      </w:r>
      <w:proofErr w:type="gramStart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—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месяцев, либо ограничением свободы на</w:t>
      </w:r>
      <w:proofErr w:type="gramEnd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 срок до трех лет, либо </w:t>
      </w:r>
      <w:proofErr w:type="gramStart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принудительными</w:t>
      </w:r>
      <w:proofErr w:type="gramEnd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 работами на срок от двух до трех лет.</w:t>
      </w:r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2. </w:t>
      </w:r>
      <w:proofErr w:type="gramStart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Деяние, предусмотренное частью первой настоящей статьи, совершенное в отношении объектов социальной инфраструктуры либо повлекшее причинение крупного ущерба, — 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лет.</w:t>
      </w:r>
      <w:proofErr w:type="gramEnd"/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3. </w:t>
      </w:r>
      <w:proofErr w:type="gramStart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— 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</w:t>
      </w:r>
      <w:proofErr w:type="gramEnd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 свободы на срок от шести до восьми лет.</w:t>
      </w:r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4. </w:t>
      </w:r>
      <w:proofErr w:type="gramStart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Деяния, предусмотренные частями первой, второй или третьей настоящей статьи, повлекшие по неосторожности смерть человека или иные тяжкие последствия, — 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лет.</w:t>
      </w:r>
      <w:proofErr w:type="gramEnd"/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Примечания</w:t>
      </w:r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1. Крупным ущербом в настоящей статье признается ущерб, сумма которого превышает один миллион рублей.</w:t>
      </w:r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2. Под объектами социальной инфраструктуры в настоящей статье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 инфраструктуры. </w:t>
      </w:r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Комментарии</w:t>
      </w:r>
    </w:p>
    <w:p w:rsidR="004E0BDE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lastRenderedPageBreak/>
        <w:t>Объективная сторона преступления заключается в доведении до сведения определенных субъектов ложных сведений о готовящемся террористическом акте. Такое сообщение может быть выражено в любой форме (устно, письменно, с помощью сре</w:t>
      </w:r>
      <w:proofErr w:type="gramStart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дств св</w:t>
      </w:r>
      <w:proofErr w:type="gramEnd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язи). Адресатом сведений выступают две категории лиц: а) органы и организации, которые по роду своей деятельности должны реагировать на подобные сообщения; б) организации, учреждения или отдельные лица, в месте нахождения которых якобы намечено совершение террористического акта. Преступление окончено с момента получения соответствующего сообщения адресатом. </w:t>
      </w:r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bookmarkStart w:id="0" w:name="_GoBack"/>
      <w:bookmarkEnd w:id="0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3. Субъективная сторона рассматриваемого преступления характеризуется прямым умыслом. Обязательным условием наступления уголовной ответственности является осознание виновным ложности сообщаемой им информации.</w:t>
      </w:r>
    </w:p>
    <w:p w:rsidR="007526E8" w:rsidRPr="007526E8" w:rsidRDefault="007526E8" w:rsidP="00752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proofErr w:type="gramStart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Субъективная сторона составов преступления характеризуется виной в виде прямого умысла, предполагающего как осознание субъектом преступления несоответствия действительности передаваемых им сведений о готовящемся акте терроризма, так и их целевое назначение - нагнетание страха на граждан и введение адресатов сообщения в заблуждение о наличии угрозы общественной безопасности для инициирования принятия ими соответствующих чрезвычайных мер.</w:t>
      </w:r>
      <w:proofErr w:type="gramEnd"/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 Мотивы не имеют значения для квалификации (личные, националистические, политические, хулиганские и т.д.). Ошибка лица в достоверности сообщаемых сведений исключает уголовную ответственность. Субъектом преступного посягательства является вменяемое лицо, достигшее к моменту совершения преступления 14 лет. Заведомо ложное сообщение об акте терроризма относится к категории преступлений средней тяжести.</w:t>
      </w:r>
      <w:r w:rsidRPr="007526E8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  <w:t> </w:t>
      </w:r>
    </w:p>
    <w:p w:rsidR="00464E78" w:rsidRDefault="00464E78"/>
    <w:sectPr w:rsidR="0046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E8"/>
    <w:rsid w:val="00464E78"/>
    <w:rsid w:val="004E0BDE"/>
    <w:rsid w:val="0075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Антитеррор_1</dc:creator>
  <cp:lastModifiedBy>User</cp:lastModifiedBy>
  <cp:revision>2</cp:revision>
  <dcterms:created xsi:type="dcterms:W3CDTF">2025-01-20T10:20:00Z</dcterms:created>
  <dcterms:modified xsi:type="dcterms:W3CDTF">2025-01-20T10:20:00Z</dcterms:modified>
</cp:coreProperties>
</file>