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637A19" w:rsidRPr="00637A19" w:rsidTr="00B459E2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637A1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ind w:right="198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637A19" w:rsidRPr="00637A19" w:rsidRDefault="00637A19" w:rsidP="00637A19">
      <w:pPr>
        <w:spacing w:before="9" w:after="120"/>
        <w:jc w:val="center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spacing w:after="12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</w:t>
      </w:r>
      <w:r w:rsidRPr="00637A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28</w:t>
      </w:r>
      <w:r w:rsidRPr="00637A19">
        <w:rPr>
          <w:rFonts w:ascii="Arial" w:hAnsi="Arial" w:cs="Arial"/>
          <w:sz w:val="24"/>
          <w:szCs w:val="24"/>
        </w:rPr>
        <w:t>.01.2025 года</w:t>
      </w:r>
    </w:p>
    <w:p w:rsidR="00637A19" w:rsidRPr="00637A19" w:rsidRDefault="00637A19" w:rsidP="00637A19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7A19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Староильдеряковское </w:t>
      </w:r>
      <w:r w:rsidRPr="00637A19">
        <w:rPr>
          <w:rFonts w:ascii="Arial" w:eastAsia="Calibri" w:hAnsi="Arial" w:cs="Arial"/>
          <w:b/>
          <w:sz w:val="24"/>
          <w:szCs w:val="24"/>
          <w:lang w:eastAsia="en-US"/>
        </w:rPr>
        <w:t>сельское поселение» Аксубаевского муниципального района Республики Татарстан на 2025 год</w:t>
      </w:r>
    </w:p>
    <w:p w:rsidR="00637A19" w:rsidRPr="00637A19" w:rsidRDefault="00637A19" w:rsidP="00637A19">
      <w:pPr>
        <w:autoSpaceDE w:val="0"/>
        <w:autoSpaceDN w:val="0"/>
        <w:adjustRightInd w:val="0"/>
        <w:ind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</w:t>
      </w:r>
      <w:r w:rsidR="00E8753D">
        <w:rPr>
          <w:rFonts w:ascii="Arial" w:hAnsi="Arial" w:cs="Arial"/>
          <w:sz w:val="24"/>
          <w:szCs w:val="24"/>
        </w:rPr>
        <w:t>сийской Федерации от  23.01.2025</w:t>
      </w:r>
      <w:bookmarkStart w:id="0" w:name="_GoBack"/>
      <w:bookmarkEnd w:id="0"/>
      <w:r w:rsidRPr="00637A19">
        <w:rPr>
          <w:rFonts w:ascii="Arial" w:hAnsi="Arial" w:cs="Arial"/>
          <w:sz w:val="24"/>
          <w:szCs w:val="24"/>
        </w:rPr>
        <w:t xml:space="preserve"> № 33 «Об утверждении коэффициента индексации выплат, пособий и компенсаций в 2025 году», Исполнительный комитет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637A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637A19" w:rsidRPr="00637A19" w:rsidRDefault="00637A19" w:rsidP="00637A19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r>
        <w:rPr>
          <w:rFonts w:ascii="Arial" w:hAnsi="Arial" w:cs="Arial"/>
          <w:sz w:val="24"/>
          <w:szCs w:val="24"/>
        </w:rPr>
        <w:t>Староильдеряковское</w:t>
      </w:r>
      <w:r w:rsidRPr="00637A19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2025 года предельный размер стоимости  гарантированного перечня услуг  по погребению в размере  9165,37 (Девять тысяч сто шестьдесят пять  рублей, 37 коп) в соответствии с приложением № 1 и приложением № 2. </w:t>
      </w:r>
    </w:p>
    <w:p w:rsidR="00637A19" w:rsidRPr="00637A19" w:rsidRDefault="00637A19" w:rsidP="00637A19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637A19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  Татарстан   от 31.01.2024 г.  № 2 «Об утверждении стоимости услуг, предоставляемых согласно гарантированному перечню услуг по погребению в </w:t>
      </w:r>
      <w:r>
        <w:rPr>
          <w:rFonts w:ascii="Arial" w:hAnsi="Arial" w:cs="Arial"/>
          <w:sz w:val="24"/>
          <w:szCs w:val="24"/>
        </w:rPr>
        <w:t>Староильдеряковском</w:t>
      </w:r>
      <w:r w:rsidRPr="00637A1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2025 года.</w:t>
      </w:r>
    </w:p>
    <w:p w:rsidR="00637A19" w:rsidRPr="00637A19" w:rsidRDefault="00637A19" w:rsidP="00637A19">
      <w:pPr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637A19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637A19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637A19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637A19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637A19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0" w:history="1">
        <w:r w:rsidRPr="00637A19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637A19" w:rsidRPr="00637A19" w:rsidRDefault="00637A19" w:rsidP="00637A1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637A19" w:rsidRPr="00637A19" w:rsidRDefault="00637A19" w:rsidP="00637A1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37A19" w:rsidRPr="00637A19" w:rsidRDefault="00637A19" w:rsidP="00637A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Староильдеряковского сельского поселения:     </w:t>
      </w:r>
      <w:r w:rsidRPr="00637A19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>С.М. Маклаков</w:t>
      </w: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lastRenderedPageBreak/>
        <w:t xml:space="preserve">Приложение  № 1 к постановлению </w:t>
      </w: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Староильдеряковского</w:t>
      </w: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28</w:t>
      </w:r>
      <w:r w:rsidRPr="00637A19">
        <w:rPr>
          <w:rFonts w:ascii="Arial" w:hAnsi="Arial" w:cs="Arial"/>
          <w:sz w:val="24"/>
          <w:szCs w:val="24"/>
        </w:rPr>
        <w:t>» января 2025 №</w:t>
      </w:r>
      <w:r>
        <w:rPr>
          <w:rFonts w:ascii="Arial" w:hAnsi="Arial" w:cs="Arial"/>
          <w:sz w:val="24"/>
          <w:szCs w:val="24"/>
        </w:rPr>
        <w:t>1</w:t>
      </w:r>
    </w:p>
    <w:p w:rsidR="00637A19" w:rsidRPr="00637A19" w:rsidRDefault="00637A19" w:rsidP="00637A19">
      <w:pPr>
        <w:jc w:val="both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jc w:val="center"/>
        <w:rPr>
          <w:rFonts w:ascii="Arial" w:hAnsi="Arial" w:cs="Arial"/>
          <w:b/>
          <w:sz w:val="24"/>
          <w:szCs w:val="24"/>
        </w:rPr>
      </w:pP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в муниципальном образовании «</w:t>
      </w:r>
      <w:r>
        <w:rPr>
          <w:rFonts w:ascii="Arial" w:hAnsi="Arial" w:cs="Arial"/>
          <w:sz w:val="24"/>
          <w:szCs w:val="24"/>
        </w:rPr>
        <w:t xml:space="preserve">Староильдеряковское </w:t>
      </w:r>
      <w:r w:rsidRPr="00637A19">
        <w:rPr>
          <w:rFonts w:ascii="Arial" w:hAnsi="Arial" w:cs="Arial"/>
          <w:sz w:val="24"/>
          <w:szCs w:val="24"/>
        </w:rPr>
        <w:t>сельское поселение»</w:t>
      </w: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2025 год</w:t>
      </w:r>
    </w:p>
    <w:p w:rsidR="00637A19" w:rsidRPr="00637A19" w:rsidRDefault="00637A19" w:rsidP="00637A19">
      <w:pPr>
        <w:jc w:val="center"/>
        <w:rPr>
          <w:rFonts w:ascii="Arial" w:hAnsi="Arial" w:cs="Arial"/>
          <w:b/>
          <w:sz w:val="24"/>
          <w:szCs w:val="24"/>
        </w:rPr>
      </w:pPr>
    </w:p>
    <w:p w:rsidR="00637A19" w:rsidRPr="00637A19" w:rsidRDefault="00637A19" w:rsidP="00637A19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37A19" w:rsidRPr="00637A19" w:rsidTr="00B459E2">
        <w:tc>
          <w:tcPr>
            <w:tcW w:w="6345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637A19" w:rsidRPr="00637A19" w:rsidRDefault="00637A19" w:rsidP="00637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37A19" w:rsidRPr="00637A19" w:rsidRDefault="00637A19" w:rsidP="00637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A1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37A19" w:rsidRPr="00637A19" w:rsidTr="00B459E2">
        <w:tc>
          <w:tcPr>
            <w:tcW w:w="6345" w:type="dxa"/>
          </w:tcPr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37A19" w:rsidRPr="00637A19" w:rsidTr="00B459E2">
        <w:tc>
          <w:tcPr>
            <w:tcW w:w="6345" w:type="dxa"/>
          </w:tcPr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>4566,37</w:t>
            </w:r>
          </w:p>
        </w:tc>
      </w:tr>
      <w:tr w:rsidR="00637A19" w:rsidRPr="00637A19" w:rsidTr="00B459E2">
        <w:tc>
          <w:tcPr>
            <w:tcW w:w="6345" w:type="dxa"/>
          </w:tcPr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>1095</w:t>
            </w:r>
          </w:p>
        </w:tc>
      </w:tr>
      <w:tr w:rsidR="00637A19" w:rsidRPr="00637A19" w:rsidTr="00B459E2">
        <w:trPr>
          <w:trHeight w:val="537"/>
        </w:trPr>
        <w:tc>
          <w:tcPr>
            <w:tcW w:w="6345" w:type="dxa"/>
          </w:tcPr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</w:p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A19">
              <w:rPr>
                <w:rFonts w:ascii="Arial" w:hAnsi="Arial" w:cs="Arial"/>
                <w:sz w:val="24"/>
                <w:szCs w:val="24"/>
              </w:rPr>
              <w:t>3504</w:t>
            </w:r>
          </w:p>
        </w:tc>
      </w:tr>
      <w:tr w:rsidR="00637A19" w:rsidRPr="00637A19" w:rsidTr="00B459E2">
        <w:trPr>
          <w:trHeight w:val="537"/>
        </w:trPr>
        <w:tc>
          <w:tcPr>
            <w:tcW w:w="6345" w:type="dxa"/>
          </w:tcPr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</w:p>
          <w:p w:rsidR="00637A19" w:rsidRPr="00637A19" w:rsidRDefault="00637A19" w:rsidP="00637A19">
            <w:pPr>
              <w:rPr>
                <w:rFonts w:ascii="Arial" w:hAnsi="Arial" w:cs="Arial"/>
                <w:sz w:val="24"/>
                <w:szCs w:val="24"/>
              </w:rPr>
            </w:pPr>
          </w:p>
          <w:p w:rsidR="00637A19" w:rsidRPr="00637A19" w:rsidRDefault="00637A19" w:rsidP="00637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7A19" w:rsidRPr="00637A19" w:rsidRDefault="00637A19" w:rsidP="00637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7A19" w:rsidRPr="00637A19" w:rsidRDefault="00637A19" w:rsidP="00637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lastRenderedPageBreak/>
        <w:t xml:space="preserve">Приложение  №2 к постановлению </w:t>
      </w: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Староильдеряковского</w:t>
      </w:r>
    </w:p>
    <w:p w:rsidR="00637A19" w:rsidRPr="00637A19" w:rsidRDefault="00637A19" w:rsidP="00637A1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637A19" w:rsidRPr="00637A19" w:rsidRDefault="00637A19" w:rsidP="00637A19">
      <w:pPr>
        <w:ind w:left="4956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             от «</w:t>
      </w:r>
      <w:r w:rsidRPr="00637A19">
        <w:rPr>
          <w:rFonts w:ascii="Arial" w:hAnsi="Arial" w:cs="Arial"/>
          <w:sz w:val="24"/>
          <w:szCs w:val="24"/>
        </w:rPr>
        <w:softHyphen/>
      </w:r>
      <w:r w:rsidRPr="00637A19">
        <w:rPr>
          <w:rFonts w:ascii="Arial" w:hAnsi="Arial" w:cs="Arial"/>
          <w:sz w:val="24"/>
          <w:szCs w:val="24"/>
        </w:rPr>
        <w:softHyphen/>
      </w:r>
      <w:r w:rsidRPr="00637A1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28</w:t>
      </w:r>
      <w:r w:rsidRPr="00637A19">
        <w:rPr>
          <w:rFonts w:ascii="Arial" w:hAnsi="Arial" w:cs="Arial"/>
          <w:sz w:val="24"/>
          <w:szCs w:val="24"/>
        </w:rPr>
        <w:t>» января 2025 №</w:t>
      </w:r>
      <w:r>
        <w:rPr>
          <w:rFonts w:ascii="Arial" w:hAnsi="Arial" w:cs="Arial"/>
          <w:sz w:val="24"/>
          <w:szCs w:val="24"/>
        </w:rPr>
        <w:t>1</w:t>
      </w:r>
    </w:p>
    <w:p w:rsidR="00637A19" w:rsidRPr="00637A19" w:rsidRDefault="00637A19" w:rsidP="00637A19">
      <w:pPr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Стоимость</w:t>
      </w: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Староильдеряковском</w:t>
      </w:r>
      <w:r w:rsidRPr="00637A19">
        <w:rPr>
          <w:rFonts w:ascii="Arial" w:hAnsi="Arial" w:cs="Arial"/>
          <w:sz w:val="24"/>
          <w:szCs w:val="24"/>
        </w:rPr>
        <w:t xml:space="preserve"> сельском поселении Аксубаевского   муниципальном районе РТ с 01.02.2025 года</w:t>
      </w: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37A19" w:rsidRPr="00637A19" w:rsidTr="00B459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637A19" w:rsidRPr="00637A19" w:rsidTr="00B459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637A19" w:rsidRPr="00637A19" w:rsidTr="00B459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547,50</w:t>
            </w:r>
          </w:p>
        </w:tc>
      </w:tr>
      <w:tr w:rsidR="00637A19" w:rsidRPr="00637A19" w:rsidTr="00B459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4018,87</w:t>
            </w:r>
          </w:p>
        </w:tc>
      </w:tr>
      <w:tr w:rsidR="00637A19" w:rsidRPr="00637A19" w:rsidTr="00B459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1095</w:t>
            </w:r>
          </w:p>
        </w:tc>
      </w:tr>
      <w:tr w:rsidR="00637A19" w:rsidRPr="00637A19" w:rsidTr="00B459E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637A19">
              <w:rPr>
                <w:rFonts w:ascii="Arial" w:hAnsi="Arial" w:cs="Arial"/>
                <w:sz w:val="24"/>
                <w:szCs w:val="24"/>
                <w:lang w:eastAsia="en-US"/>
              </w:rPr>
              <w:t>3504</w:t>
            </w:r>
          </w:p>
        </w:tc>
      </w:tr>
      <w:tr w:rsidR="00637A19" w:rsidRPr="00637A19" w:rsidTr="00B459E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37A19" w:rsidRPr="00637A19" w:rsidRDefault="00637A19" w:rsidP="00637A19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37A19" w:rsidRPr="00637A19" w:rsidRDefault="00637A19" w:rsidP="00637A1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37A1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9165,37</w:t>
            </w:r>
          </w:p>
        </w:tc>
      </w:tr>
    </w:tbl>
    <w:p w:rsidR="00637A19" w:rsidRPr="00637A19" w:rsidRDefault="00637A19" w:rsidP="00637A19">
      <w:pPr>
        <w:jc w:val="both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7A19" w:rsidRP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235D" w:rsidRPr="00FF0E5A" w:rsidRDefault="00F5235D" w:rsidP="00FF0E5A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FF0E5A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8E" w:rsidRDefault="00713C8E">
      <w:r>
        <w:separator/>
      </w:r>
    </w:p>
  </w:endnote>
  <w:endnote w:type="continuationSeparator" w:id="0">
    <w:p w:rsidR="00713C8E" w:rsidRDefault="0071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8E" w:rsidRDefault="00713C8E">
      <w:r>
        <w:separator/>
      </w:r>
    </w:p>
  </w:footnote>
  <w:footnote w:type="continuationSeparator" w:id="0">
    <w:p w:rsidR="00713C8E" w:rsidRDefault="0071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8753D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348CD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37A19"/>
    <w:rsid w:val="00642814"/>
    <w:rsid w:val="00647DCF"/>
    <w:rsid w:val="006674DC"/>
    <w:rsid w:val="006B06BA"/>
    <w:rsid w:val="006C24DD"/>
    <w:rsid w:val="006D3A04"/>
    <w:rsid w:val="006D7E41"/>
    <w:rsid w:val="006E3F61"/>
    <w:rsid w:val="00713C8E"/>
    <w:rsid w:val="0071609B"/>
    <w:rsid w:val="007370A0"/>
    <w:rsid w:val="00755EBA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2888"/>
    <w:rsid w:val="00D83CEF"/>
    <w:rsid w:val="00D91CC7"/>
    <w:rsid w:val="00DE28EA"/>
    <w:rsid w:val="00E2504A"/>
    <w:rsid w:val="00E27530"/>
    <w:rsid w:val="00E307FE"/>
    <w:rsid w:val="00E8753D"/>
    <w:rsid w:val="00EA2457"/>
    <w:rsid w:val="00ED1482"/>
    <w:rsid w:val="00ED65E1"/>
    <w:rsid w:val="00EF109E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74B4-E089-42A5-A9DF-75FEA90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Sild</cp:lastModifiedBy>
  <cp:revision>2</cp:revision>
  <cp:lastPrinted>2022-03-22T06:45:00Z</cp:lastPrinted>
  <dcterms:created xsi:type="dcterms:W3CDTF">2025-01-28T08:33:00Z</dcterms:created>
  <dcterms:modified xsi:type="dcterms:W3CDTF">2025-01-28T08:33:00Z</dcterms:modified>
</cp:coreProperties>
</file>