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1E" w:rsidRPr="00B85D1E" w:rsidRDefault="00B85D1E">
      <w:pPr>
        <w:rPr>
          <w:sz w:val="6"/>
        </w:rPr>
      </w:pPr>
    </w:p>
    <w:tbl>
      <w:tblPr>
        <w:tblW w:w="10272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8F4AE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E9099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286A1" wp14:editId="6CF398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065E49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</w:p>
          <w:p w:rsidR="0041200B" w:rsidRPr="002A23CD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E90990">
              <w:rPr>
                <w:spacing w:val="-6"/>
                <w:sz w:val="28"/>
                <w:szCs w:val="28"/>
              </w:rPr>
              <w:t>Ы</w:t>
            </w:r>
            <w:r w:rsidR="00065E49">
              <w:rPr>
                <w:spacing w:val="-6"/>
                <w:sz w:val="28"/>
                <w:szCs w:val="28"/>
              </w:rPr>
              <w:t xml:space="preserve"> </w:t>
            </w:r>
            <w:r w:rsidR="00E90990">
              <w:rPr>
                <w:spacing w:val="-6"/>
                <w:sz w:val="28"/>
                <w:szCs w:val="28"/>
              </w:rPr>
              <w:t>СОВЕТЫ</w:t>
            </w:r>
          </w:p>
        </w:tc>
      </w:tr>
      <w:tr w:rsidR="007E5571" w:rsidRPr="00F75D89" w:rsidTr="008F4AE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8F4AE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8F4AE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8F4AE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8F4AE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8F4AE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E90990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90990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8F4AE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43020D" w:rsidP="0043020D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24.02.2026                 </w:t>
            </w:r>
            <w:r w:rsidR="00542A7D">
              <w:rPr>
                <w:b/>
                <w:sz w:val="28"/>
                <w:szCs w:val="28"/>
              </w:rPr>
              <w:t xml:space="preserve">      </w:t>
            </w:r>
            <w:r w:rsidR="00F831E5" w:rsidRPr="001C169B">
              <w:rPr>
                <w:sz w:val="28"/>
                <w:szCs w:val="28"/>
              </w:rPr>
              <w:t>п.г.т. Аксубаево</w:t>
            </w:r>
            <w:r w:rsidR="00542A7D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                 № 34</w:t>
            </w:r>
          </w:p>
        </w:tc>
      </w:tr>
      <w:tr w:rsidR="007D1575" w:rsidRPr="00F75D89" w:rsidTr="008F4AE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A91628" w:rsidRDefault="00A91628" w:rsidP="00A91628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решение Совета Аксубаевского</w:t>
      </w:r>
    </w:p>
    <w:p w:rsidR="00A91628" w:rsidRDefault="00A91628" w:rsidP="00A91628">
      <w:pPr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района Республики Татарстан № 23 от 12 декабря 2025 года  «О бюджете Аксубаевского муниципального района Республики Татарстан на 2026 год и на плановый период 2027 и 2028 годов»</w:t>
      </w:r>
    </w:p>
    <w:bookmarkEnd w:id="0"/>
    <w:p w:rsidR="00A91628" w:rsidRDefault="00A91628" w:rsidP="00A91628">
      <w:pPr>
        <w:jc w:val="both"/>
        <w:rPr>
          <w:b/>
          <w:sz w:val="28"/>
        </w:rPr>
      </w:pPr>
    </w:p>
    <w:p w:rsidR="00A91628" w:rsidRDefault="00A91628" w:rsidP="00A916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председателя Финансовой бюджетной палаты Сетровой О.П. об остатках бюджетных средств на 01.01.2026 года, Совет Аксубаевского муниципального района Республики Татарстан решил:</w:t>
      </w:r>
    </w:p>
    <w:p w:rsidR="00A91628" w:rsidRDefault="00A91628" w:rsidP="00A916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Аксубаевского муниципального района</w:t>
      </w:r>
      <w:r>
        <w:rPr>
          <w:sz w:val="28"/>
        </w:rPr>
        <w:t xml:space="preserve"> Республики Татарстан</w:t>
      </w:r>
      <w:r>
        <w:rPr>
          <w:sz w:val="28"/>
          <w:szCs w:val="28"/>
        </w:rPr>
        <w:t xml:space="preserve"> № 23 от 12 декабря 2025 года «О бюджете Аксубаевского муниципального района </w:t>
      </w:r>
      <w:r>
        <w:rPr>
          <w:sz w:val="28"/>
        </w:rPr>
        <w:t xml:space="preserve">Республики Татарстан </w:t>
      </w:r>
      <w:r>
        <w:rPr>
          <w:sz w:val="28"/>
          <w:szCs w:val="28"/>
        </w:rPr>
        <w:t xml:space="preserve">на 2026 год и на плановый период 2027 и 2028 годов» следующие изменения: </w:t>
      </w:r>
    </w:p>
    <w:p w:rsidR="00A91628" w:rsidRDefault="00A91628" w:rsidP="00A916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пункте 1.1.2. заменить «общий объем расходов бюджета в сумме 1553026,09 тыс. руб.» на «общий объем расходов бюджета в сумме 1601161,39 тыс. руб.». В пункте 1.1.3. заменить «дефицит в сумме 0 тыс. рублей» на «дефицит в сумме 48135,3 тыс. рублей»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пункте 1.3. внести изменения в источники финансирования дефицита бюджета Аксубаевского муниципального района</w:t>
      </w:r>
      <w:r>
        <w:rPr>
          <w:sz w:val="28"/>
        </w:rPr>
        <w:t xml:space="preserve"> Республики Татарстан</w:t>
      </w:r>
      <w:r>
        <w:rPr>
          <w:sz w:val="28"/>
          <w:szCs w:val="28"/>
        </w:rPr>
        <w:t xml:space="preserve"> на 2026 год согласно приложению № 1 к настоящему Решению.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</w:t>
      </w:r>
      <w:r>
        <w:rPr>
          <w:bCs/>
          <w:iCs/>
          <w:sz w:val="28"/>
        </w:rPr>
        <w:t>твердить межбюджетные трансферты, передаваемые бюджетам поселений для компенсации дополнительных расходов, возникших в результате принятых решений органами власти другого уровня в сумме 4939,5</w:t>
      </w:r>
      <w:r>
        <w:rPr>
          <w:bCs/>
          <w:iCs/>
          <w:color w:val="FF0000"/>
          <w:sz w:val="28"/>
        </w:rPr>
        <w:t xml:space="preserve"> </w:t>
      </w:r>
      <w:r>
        <w:rPr>
          <w:bCs/>
          <w:iCs/>
          <w:sz w:val="28"/>
        </w:rPr>
        <w:t>тыс. рублей, согласно приложению № 2 к настоящему Решению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>
        <w:t xml:space="preserve">. </w:t>
      </w:r>
      <w:r>
        <w:rPr>
          <w:sz w:val="28"/>
          <w:szCs w:val="28"/>
        </w:rPr>
        <w:t>Внести изменения в распределения бюджетных ассигнований бюджета Аксубаевского муниципального района</w:t>
      </w:r>
      <w:r>
        <w:rPr>
          <w:sz w:val="28"/>
        </w:rPr>
        <w:t xml:space="preserve"> Республики Татарстан</w:t>
      </w:r>
      <w:r>
        <w:rPr>
          <w:sz w:val="28"/>
          <w:szCs w:val="28"/>
        </w:rPr>
        <w:t xml:space="preserve"> по разделам, подразделам, целевым статьям и группам видов расходов классификации расходов бюджета на 2026 год.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Внести изменения в ведомственную структуру расходов бюджета Аксубаевского муниципального района</w:t>
      </w:r>
      <w:r>
        <w:rPr>
          <w:sz w:val="28"/>
        </w:rPr>
        <w:t xml:space="preserve"> Республики Татарстан</w:t>
      </w:r>
      <w:r>
        <w:rPr>
          <w:sz w:val="28"/>
          <w:szCs w:val="28"/>
        </w:rPr>
        <w:t xml:space="preserve"> на 2026 год.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Приложения № 4 и 6 к Решению изложить в редакции приложений № 3 и 4 к настоящему Решению.</w:t>
      </w:r>
    </w:p>
    <w:p w:rsidR="00A91628" w:rsidRDefault="00A91628" w:rsidP="00A916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6. </w:t>
      </w:r>
      <w:r>
        <w:rPr>
          <w:bCs/>
          <w:iCs/>
          <w:sz w:val="28"/>
        </w:rPr>
        <w:t>В пункте 9 внести изменения в объем бюджетных ассигнований Дорожного фонда Аксубаевского муниципального района Республики Татарстан на 2026 год заменив в сумме «29304,3» на «29719,2» тыс. рублей.</w:t>
      </w:r>
    </w:p>
    <w:p w:rsidR="00A91628" w:rsidRDefault="00A91628" w:rsidP="00A916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Финансовой бюджетной палате внести изменения в бюджетную роспись.</w:t>
      </w:r>
    </w:p>
    <w:p w:rsidR="00A91628" w:rsidRDefault="00A91628" w:rsidP="00A91628">
      <w:pPr>
        <w:pStyle w:val="21"/>
        <w:shd w:val="clear" w:color="auto" w:fill="auto"/>
        <w:tabs>
          <w:tab w:val="left" w:pos="90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Разместить настоящее постановление на официальном сайте Аксубаевского муниципального района Республики Татарстан в сети интернет http://aksubayevo.tatarstan.ru и опубликовать на официальном портале правовой информации Республики Татарстан httр://pravo.tatarstan.ru.</w:t>
      </w:r>
    </w:p>
    <w:p w:rsidR="00A91628" w:rsidRDefault="00A91628" w:rsidP="00A91628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9. 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 и финансам, сборам, инвестициям и предпринимательству.</w:t>
      </w:r>
    </w:p>
    <w:p w:rsidR="00190730" w:rsidRDefault="00190730" w:rsidP="00190730">
      <w:pPr>
        <w:rPr>
          <w:szCs w:val="28"/>
        </w:rPr>
      </w:pPr>
    </w:p>
    <w:p w:rsidR="00190730" w:rsidRDefault="00190730" w:rsidP="00190730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90730"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190730" w:rsidRPr="00190730" w:rsidRDefault="00190730" w:rsidP="00190730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90730">
        <w:rPr>
          <w:rFonts w:eastAsiaTheme="minorHAnsi"/>
          <w:sz w:val="28"/>
          <w:szCs w:val="28"/>
          <w:lang w:eastAsia="en-US"/>
        </w:rPr>
        <w:t>Аксубаевского муниципального района,</w:t>
      </w:r>
    </w:p>
    <w:p w:rsidR="00190730" w:rsidRPr="00190730" w:rsidRDefault="00190730" w:rsidP="00190730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90730">
        <w:rPr>
          <w:rFonts w:eastAsiaTheme="minorHAnsi"/>
          <w:sz w:val="28"/>
          <w:szCs w:val="28"/>
          <w:lang w:eastAsia="en-US"/>
        </w:rPr>
        <w:t>Председатель Совета                                                                              А.М. Мингулов</w:t>
      </w:r>
    </w:p>
    <w:p w:rsidR="008F4AE9" w:rsidRPr="00190730" w:rsidRDefault="008F4AE9" w:rsidP="00190730">
      <w:pPr>
        <w:rPr>
          <w:szCs w:val="28"/>
        </w:rPr>
      </w:pPr>
    </w:p>
    <w:sectPr w:rsidR="008F4AE9" w:rsidRPr="00190730" w:rsidSect="00A91628">
      <w:pgSz w:w="11906" w:h="16838" w:code="9"/>
      <w:pgMar w:top="1135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8D" w:rsidRDefault="0003048D">
      <w:r>
        <w:separator/>
      </w:r>
    </w:p>
  </w:endnote>
  <w:endnote w:type="continuationSeparator" w:id="0">
    <w:p w:rsidR="0003048D" w:rsidRDefault="0003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8D" w:rsidRDefault="0003048D">
      <w:r>
        <w:separator/>
      </w:r>
    </w:p>
  </w:footnote>
  <w:footnote w:type="continuationSeparator" w:id="0">
    <w:p w:rsidR="0003048D" w:rsidRDefault="0003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15402"/>
    <w:rsid w:val="0003048D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90730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3020D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235D9"/>
    <w:rsid w:val="00672D11"/>
    <w:rsid w:val="00673CD5"/>
    <w:rsid w:val="006A40F5"/>
    <w:rsid w:val="006B608B"/>
    <w:rsid w:val="006C505F"/>
    <w:rsid w:val="006C643B"/>
    <w:rsid w:val="006E3F88"/>
    <w:rsid w:val="0070531D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8F1F15"/>
    <w:rsid w:val="008F4AE9"/>
    <w:rsid w:val="00907E1C"/>
    <w:rsid w:val="0094083B"/>
    <w:rsid w:val="00944A09"/>
    <w:rsid w:val="00973EF9"/>
    <w:rsid w:val="00996175"/>
    <w:rsid w:val="009A05B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16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906A2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DE38AA"/>
    <w:rsid w:val="00E071A2"/>
    <w:rsid w:val="00E25F3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95C4D"/>
  <w15:docId w15:val="{00C123FE-DBBD-4908-AD20-45FB5D0A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AE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8F4AE9"/>
    <w:rPr>
      <w:sz w:val="28"/>
    </w:rPr>
  </w:style>
  <w:style w:type="paragraph" w:customStyle="1" w:styleId="ConsPlusNormal">
    <w:name w:val="ConsPlusNormal"/>
    <w:uiPriority w:val="99"/>
    <w:rsid w:val="008F4A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8F4AE9"/>
    <w:pPr>
      <w:spacing w:before="100" w:beforeAutospacing="1" w:after="100" w:afterAutospacing="1"/>
    </w:pPr>
  </w:style>
  <w:style w:type="paragraph" w:customStyle="1" w:styleId="21">
    <w:name w:val="Основной текст (2)1"/>
    <w:basedOn w:val="a"/>
    <w:uiPriority w:val="99"/>
    <w:rsid w:val="008F4AE9"/>
    <w:pPr>
      <w:widowControl w:val="0"/>
      <w:shd w:val="clear" w:color="auto" w:fill="FFFFFF"/>
      <w:spacing w:after="660" w:line="240" w:lineRule="atLeast"/>
      <w:jc w:val="right"/>
    </w:pPr>
    <w:rPr>
      <w:sz w:val="26"/>
      <w:szCs w:val="20"/>
    </w:rPr>
  </w:style>
  <w:style w:type="paragraph" w:styleId="a9">
    <w:name w:val="No Spacing"/>
    <w:uiPriority w:val="1"/>
    <w:qFormat/>
    <w:rsid w:val="0019073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02A8-E0BE-4DD4-98FA-09663C21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4</cp:revision>
  <cp:lastPrinted>2018-05-03T11:35:00Z</cp:lastPrinted>
  <dcterms:created xsi:type="dcterms:W3CDTF">2026-02-25T09:05:00Z</dcterms:created>
  <dcterms:modified xsi:type="dcterms:W3CDTF">2026-02-25T09:49:00Z</dcterms:modified>
</cp:coreProperties>
</file>