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5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1495"/>
        <w:gridCol w:w="4828"/>
      </w:tblGrid>
      <w:tr w:rsidR="0022614B" w:rsidRPr="0022614B" w:rsidTr="00BE4374">
        <w:trPr>
          <w:trHeight w:val="44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473AE06" wp14:editId="54E7EA0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2614B" w:rsidRPr="0022614B" w:rsidRDefault="0022614B" w:rsidP="007D655A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22614B" w:rsidRPr="0022614B" w:rsidRDefault="0022614B" w:rsidP="007D655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895B1F" w:rsidRPr="007D655A" w:rsidRDefault="00842C42" w:rsidP="00762700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КАРАР</w:t>
      </w:r>
    </w:p>
    <w:p w:rsidR="00895B1F" w:rsidRPr="007D655A" w:rsidRDefault="006760C6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              </w:t>
      </w:r>
      <w:r w:rsidR="00535281" w:rsidRPr="007D655A">
        <w:rPr>
          <w:rFonts w:ascii="Arial" w:hAnsi="Arial" w:cs="Arial"/>
          <w:sz w:val="24"/>
          <w:szCs w:val="24"/>
        </w:rPr>
        <w:t>№</w:t>
      </w:r>
      <w:r w:rsidR="009E1E27">
        <w:rPr>
          <w:rFonts w:ascii="Arial" w:hAnsi="Arial" w:cs="Arial"/>
          <w:sz w:val="24"/>
          <w:szCs w:val="24"/>
        </w:rPr>
        <w:t>9</w:t>
      </w:r>
      <w:r w:rsidR="002A72FF" w:rsidRPr="007D655A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350BD" w:rsidRPr="007D655A">
        <w:rPr>
          <w:rFonts w:ascii="Arial" w:hAnsi="Arial" w:cs="Arial"/>
          <w:sz w:val="24"/>
          <w:szCs w:val="24"/>
        </w:rPr>
        <w:t xml:space="preserve">                 </w:t>
      </w:r>
      <w:r w:rsidR="00A412AD" w:rsidRPr="007D655A">
        <w:rPr>
          <w:rFonts w:ascii="Arial" w:hAnsi="Arial" w:cs="Arial"/>
          <w:sz w:val="24"/>
          <w:szCs w:val="24"/>
        </w:rPr>
        <w:t xml:space="preserve">        </w:t>
      </w:r>
      <w:r w:rsidR="00762700">
        <w:rPr>
          <w:rFonts w:ascii="Arial" w:hAnsi="Arial" w:cs="Arial"/>
          <w:sz w:val="24"/>
          <w:szCs w:val="24"/>
        </w:rPr>
        <w:t>25</w:t>
      </w:r>
      <w:r w:rsidR="009E1E27">
        <w:rPr>
          <w:rFonts w:ascii="Arial" w:hAnsi="Arial" w:cs="Arial"/>
          <w:sz w:val="24"/>
          <w:szCs w:val="24"/>
        </w:rPr>
        <w:t>.09</w:t>
      </w:r>
      <w:r w:rsidR="00FF7A58">
        <w:rPr>
          <w:rFonts w:ascii="Arial" w:hAnsi="Arial" w:cs="Arial"/>
          <w:sz w:val="24"/>
          <w:szCs w:val="24"/>
        </w:rPr>
        <w:t>.2024</w:t>
      </w:r>
      <w:bookmarkStart w:id="0" w:name="_GoBack"/>
      <w:bookmarkEnd w:id="0"/>
      <w:r w:rsidR="006021CC">
        <w:rPr>
          <w:rFonts w:ascii="Arial" w:hAnsi="Arial" w:cs="Arial"/>
          <w:sz w:val="24"/>
          <w:szCs w:val="24"/>
        </w:rPr>
        <w:t xml:space="preserve"> </w:t>
      </w:r>
      <w:r w:rsidR="00842C42">
        <w:rPr>
          <w:rFonts w:ascii="Arial" w:hAnsi="Arial" w:cs="Arial"/>
          <w:sz w:val="24"/>
          <w:szCs w:val="24"/>
        </w:rPr>
        <w:t>ел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Default="00842C42" w:rsidP="00842C42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842C42">
        <w:rPr>
          <w:rFonts w:ascii="Arial" w:hAnsi="Arial" w:cs="Arial"/>
          <w:b/>
          <w:sz w:val="24"/>
          <w:szCs w:val="24"/>
        </w:rPr>
        <w:t xml:space="preserve">2025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2026-2027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еллар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план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чорына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проектын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әзерләү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тәртибе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сроклары</w:t>
      </w:r>
      <w:proofErr w:type="spellEnd"/>
      <w:r w:rsidRPr="00842C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b/>
          <w:sz w:val="24"/>
          <w:szCs w:val="24"/>
        </w:rPr>
        <w:t>турында</w:t>
      </w:r>
      <w:proofErr w:type="spellEnd"/>
    </w:p>
    <w:p w:rsidR="00842C42" w:rsidRPr="007D655A" w:rsidRDefault="00842C42" w:rsidP="00842C42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sz w:val="24"/>
          <w:szCs w:val="24"/>
        </w:rPr>
      </w:pPr>
    </w:p>
    <w:p w:rsidR="00842C42" w:rsidRPr="00842C42" w:rsidRDefault="00762700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    </w:t>
      </w:r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Россия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Федерациясе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кодексының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184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статьясындагы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3 пункты, Татарстан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кодексы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Уставы </w:t>
      </w:r>
      <w:proofErr w:type="spellStart"/>
      <w:r w:rsidR="00842C42" w:rsidRPr="00842C42">
        <w:rPr>
          <w:rFonts w:ascii="Arial" w:hAnsi="Arial" w:cs="Arial"/>
          <w:color w:val="000000"/>
          <w:spacing w:val="-1"/>
          <w:sz w:val="24"/>
          <w:szCs w:val="24"/>
        </w:rPr>
        <w:t>нигезендә</w:t>
      </w:r>
      <w:proofErr w:type="spellEnd"/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Карар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бирәм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>1.</w:t>
      </w:r>
      <w:r w:rsidRPr="00842C42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комитеты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җитәкчесе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урынбасары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Егорова Чулпан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Илдар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кызына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комитеты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бүлекләре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палатасы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белән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берлектә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15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ноябренә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2026-2027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план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чорына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шул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исәптән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1)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узган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чорына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социаль-икътисадый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үсешенең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якынча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йомгаклары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социаль-икътисадый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үсешнең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көтелә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йомгаклары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2)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көтелә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үтәлешен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бәяләү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3) 2026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чорга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социаль-икътисадый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үсеш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фаразы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4)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салым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сәясәтенең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төп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юнәлешләре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проекты;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5)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Эчке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үзара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хисаплашулар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программасы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проекты;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6)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гарантияләр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программасы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проекты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7)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бурычның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югары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чиге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мәгълүматны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 01.01.2026 ел, 01.01.2027 ел, 01.01.2028 ел;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8)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төп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характеристикалары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(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гомуми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чыгымнарның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гомуми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кытлыгы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)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фаразы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>2.</w:t>
      </w:r>
      <w:r w:rsidRPr="00842C42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чыгымнары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фаразын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билгеләү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максатларында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палатасына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кертергә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1) 27.10.2024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администраторларына-җирле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үзидарә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органнарына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идарә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итә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керүе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фаразы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; 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2)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бюджетны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планлаштыру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субъектларына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        25.10.2024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кадәр-2025-2027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чыгым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йөкләмәләренең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беренчел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реестрлары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        25.10.2024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– 2025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финанслау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чыганаклары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белән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тәэмин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ителмәгән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акчаларын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тотуга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китерә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норматив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хокукый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актларның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үз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көчләрен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югалтуын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тану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яки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гамәлдә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булуын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туктатып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тору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тәкъдимнәр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25.10.2024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-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гамәлдәге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яңа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программалар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кабул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итү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вакытын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озайту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аларны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гамәлгә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ашыруга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исәп-хисаплар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бирү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тәкъдимнәр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октябренә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–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исәбеннән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гарантияләр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алуга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алдан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гаризалар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25.10.2024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кадәр-2025-2027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финанслауның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чик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күләмнәрен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Россия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Федерациясе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чыгымнарының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классификациясе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нигезендә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3.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администраторлары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булып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торучы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Россия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Федерациясе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дәүләт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хакимияте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органнарына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палатасына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үзләре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администрацияли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торган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керемнәрнең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керүен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фаразлау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өчен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кирәкле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мәгълүматны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тапшырырга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тәкъдим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итәргә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. 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>4.</w:t>
      </w:r>
      <w:r w:rsidRPr="00842C42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комитетына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акчаларын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бүлүчеләр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булып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тора: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1)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23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октябренә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өлкә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учреждениеләренең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ягыннан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үзгәрешләрен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килештерергә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2)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23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октябренә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тиешле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министрлыкларында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ведомстволарында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өлкә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учреждениеләре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челтәре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контингентлары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буенча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күрсәткечләрен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килештерергә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3)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социаль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өлкәдәге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учреждениеләр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челтәре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арткан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очракта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органнары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билгеләгән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срокларда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яңа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учреждениеләр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ачуның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максатка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ярашлылыгын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нигезләүне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әзерләргә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тармак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министрлыкларына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ведомстволарына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тапшырырга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5.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бухгалтерына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1)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палатасы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тарафыннан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билгеләнгән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срокларда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бюджетыннан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бюджетара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трансфертлар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күләмнәрен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исәпләү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өчен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башлангыч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күрсәткечләрне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килештерергә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2)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октябренә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акчаларын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бүлүчеләргә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финанслауның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чик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күләмнәрен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җибәрергә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.;</w:t>
      </w:r>
      <w:proofErr w:type="gramEnd"/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3) 01.11.2024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2025-2027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финанслауның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чик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күләмнәрен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Россия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Федерациясе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чыгымнарының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классификациясе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нигезендә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акчаларын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бүлүчеләр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тарафыннан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бирелгән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бүлүне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карарга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6) 2024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15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ноябренә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кадәр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«Аксубай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районының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җирлегенең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2025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, 2026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2027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еллар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план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чорына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бюджеты </w:t>
      </w:r>
      <w:proofErr w:type="spellStart"/>
      <w:proofErr w:type="gram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турында»карар</w:t>
      </w:r>
      <w:proofErr w:type="spellEnd"/>
      <w:proofErr w:type="gram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проектын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әзерләргә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842C42" w:rsidRPr="00842C42" w:rsidRDefault="00842C42" w:rsidP="00762700">
      <w:pPr>
        <w:pStyle w:val="a5"/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6.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Әлеге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карарның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үтәлешен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тикшереп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торуны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комитеты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җитәкчесе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урынбасары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Егорова Чулпан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Илдар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кызына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һәм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баш бухгалтеры Малова Елена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Алексеевнага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йөкләргә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842C42" w:rsidRPr="00842C42" w:rsidRDefault="00842C42" w:rsidP="00762700">
      <w:pPr>
        <w:pStyle w:val="a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42C42" w:rsidRDefault="00842C42" w:rsidP="00762700">
      <w:pPr>
        <w:pStyle w:val="a5"/>
        <w:tabs>
          <w:tab w:val="clear" w:pos="4677"/>
          <w:tab w:val="clear" w:pos="9355"/>
        </w:tabs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Татарстан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Республикасы</w:t>
      </w:r>
      <w:proofErr w:type="spellEnd"/>
    </w:p>
    <w:p w:rsidR="00842C42" w:rsidRDefault="00842C42" w:rsidP="00762700">
      <w:pPr>
        <w:pStyle w:val="a5"/>
        <w:tabs>
          <w:tab w:val="clear" w:pos="4677"/>
          <w:tab w:val="clear" w:pos="9355"/>
        </w:tabs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Аксубай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муниципаль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районы</w:t>
      </w:r>
    </w:p>
    <w:p w:rsidR="00842C42" w:rsidRDefault="00842C42" w:rsidP="00762700">
      <w:pPr>
        <w:pStyle w:val="a5"/>
        <w:tabs>
          <w:tab w:val="clear" w:pos="4677"/>
          <w:tab w:val="clear" w:pos="9355"/>
        </w:tabs>
        <w:ind w:hanging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Сөнчәле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авыл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җирлеге</w:t>
      </w:r>
      <w:proofErr w:type="spellEnd"/>
    </w:p>
    <w:p w:rsidR="002122F0" w:rsidRPr="00BE4374" w:rsidRDefault="00842C42" w:rsidP="00BE4374">
      <w:pPr>
        <w:pStyle w:val="a5"/>
        <w:tabs>
          <w:tab w:val="clear" w:pos="4677"/>
          <w:tab w:val="clear" w:pos="9355"/>
        </w:tabs>
        <w:ind w:hanging="14"/>
        <w:jc w:val="both"/>
        <w:rPr>
          <w:rFonts w:ascii="Arial" w:hAnsi="Arial" w:cs="Arial"/>
          <w:sz w:val="24"/>
          <w:szCs w:val="24"/>
        </w:rPr>
      </w:pPr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башкарма</w:t>
      </w:r>
      <w:proofErr w:type="spellEnd"/>
      <w:proofErr w:type="gram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 xml:space="preserve"> комитеты </w:t>
      </w:r>
      <w:proofErr w:type="spellStart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җитәкчесе</w:t>
      </w:r>
      <w:proofErr w:type="spellEnd"/>
      <w:r w:rsidRPr="00842C42">
        <w:rPr>
          <w:rFonts w:ascii="Arial" w:hAnsi="Arial" w:cs="Arial"/>
          <w:color w:val="000000"/>
          <w:spacing w:val="-1"/>
          <w:sz w:val="24"/>
          <w:szCs w:val="24"/>
        </w:rPr>
        <w:t>: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     </w:t>
      </w:r>
      <w:r w:rsidR="00BE4374">
        <w:rPr>
          <w:rFonts w:ascii="Arial" w:hAnsi="Arial" w:cs="Arial"/>
          <w:color w:val="000000"/>
          <w:sz w:val="24"/>
          <w:szCs w:val="24"/>
        </w:rPr>
        <w:t xml:space="preserve">И.В. </w:t>
      </w:r>
      <w:proofErr w:type="spellStart"/>
      <w:r w:rsidR="00BE4374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</w:p>
    <w:sectPr w:rsidR="002122F0" w:rsidRPr="00BE4374" w:rsidSect="00BE4374">
      <w:headerReference w:type="even" r:id="rId9"/>
      <w:headerReference w:type="default" r:id="rId10"/>
      <w:pgSz w:w="11906" w:h="16838"/>
      <w:pgMar w:top="426" w:right="851" w:bottom="709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DC" w:rsidRDefault="002A4DDC" w:rsidP="006D50EF">
      <w:r>
        <w:separator/>
      </w:r>
    </w:p>
  </w:endnote>
  <w:endnote w:type="continuationSeparator" w:id="0">
    <w:p w:rsidR="002A4DDC" w:rsidRDefault="002A4DDC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Tahoma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DC" w:rsidRDefault="002A4DDC" w:rsidP="006D50EF">
      <w:r>
        <w:separator/>
      </w:r>
    </w:p>
  </w:footnote>
  <w:footnote w:type="continuationSeparator" w:id="0">
    <w:p w:rsidR="002A4DDC" w:rsidRDefault="002A4DDC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1D59F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1D59F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7429C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D59F0"/>
    <w:rsid w:val="001E2792"/>
    <w:rsid w:val="001E2842"/>
    <w:rsid w:val="001F53A8"/>
    <w:rsid w:val="002031A4"/>
    <w:rsid w:val="002037C4"/>
    <w:rsid w:val="002122F0"/>
    <w:rsid w:val="00212DA0"/>
    <w:rsid w:val="0022614B"/>
    <w:rsid w:val="002262C2"/>
    <w:rsid w:val="0023156A"/>
    <w:rsid w:val="00233EFF"/>
    <w:rsid w:val="002350BD"/>
    <w:rsid w:val="00240465"/>
    <w:rsid w:val="002413EE"/>
    <w:rsid w:val="002543F5"/>
    <w:rsid w:val="00262C6B"/>
    <w:rsid w:val="00285F6D"/>
    <w:rsid w:val="0028796F"/>
    <w:rsid w:val="002A4DDC"/>
    <w:rsid w:val="002A72FF"/>
    <w:rsid w:val="002B30A7"/>
    <w:rsid w:val="002C78BB"/>
    <w:rsid w:val="002E09D9"/>
    <w:rsid w:val="002E501D"/>
    <w:rsid w:val="00302B3F"/>
    <w:rsid w:val="003074CC"/>
    <w:rsid w:val="00312519"/>
    <w:rsid w:val="00334D8D"/>
    <w:rsid w:val="003549D1"/>
    <w:rsid w:val="00357B87"/>
    <w:rsid w:val="00361823"/>
    <w:rsid w:val="00362866"/>
    <w:rsid w:val="003A04A4"/>
    <w:rsid w:val="003B4F6B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760FF"/>
    <w:rsid w:val="00480F9C"/>
    <w:rsid w:val="00496DF3"/>
    <w:rsid w:val="00497E07"/>
    <w:rsid w:val="004A2442"/>
    <w:rsid w:val="004A3488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113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21CC"/>
    <w:rsid w:val="006063FE"/>
    <w:rsid w:val="006243DB"/>
    <w:rsid w:val="00627E0B"/>
    <w:rsid w:val="00641047"/>
    <w:rsid w:val="00654AAF"/>
    <w:rsid w:val="00655A66"/>
    <w:rsid w:val="00665411"/>
    <w:rsid w:val="006662D5"/>
    <w:rsid w:val="006760C6"/>
    <w:rsid w:val="006A7390"/>
    <w:rsid w:val="006C2EF6"/>
    <w:rsid w:val="006D2E94"/>
    <w:rsid w:val="006D44B9"/>
    <w:rsid w:val="006D50EF"/>
    <w:rsid w:val="006E6A2C"/>
    <w:rsid w:val="007074A1"/>
    <w:rsid w:val="00720177"/>
    <w:rsid w:val="007269EB"/>
    <w:rsid w:val="007308ED"/>
    <w:rsid w:val="00750672"/>
    <w:rsid w:val="00762700"/>
    <w:rsid w:val="00771B26"/>
    <w:rsid w:val="00772019"/>
    <w:rsid w:val="00784585"/>
    <w:rsid w:val="007B6D6F"/>
    <w:rsid w:val="007C1001"/>
    <w:rsid w:val="007D655A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2C42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63C16"/>
    <w:rsid w:val="00971220"/>
    <w:rsid w:val="00977A29"/>
    <w:rsid w:val="009903D0"/>
    <w:rsid w:val="009A3244"/>
    <w:rsid w:val="009B2013"/>
    <w:rsid w:val="009B50B9"/>
    <w:rsid w:val="009D2D3E"/>
    <w:rsid w:val="009D4DA8"/>
    <w:rsid w:val="009E1283"/>
    <w:rsid w:val="009E1E27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33A6"/>
    <w:rsid w:val="00BD1AB6"/>
    <w:rsid w:val="00BD31E9"/>
    <w:rsid w:val="00BD6166"/>
    <w:rsid w:val="00BE4374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460C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292D"/>
    <w:rsid w:val="00D75479"/>
    <w:rsid w:val="00D826B6"/>
    <w:rsid w:val="00D90CF8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0580"/>
    <w:rsid w:val="00E84154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FAA0A6-4717-42A8-96A3-28CFC530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842C4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84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A889-04BB-4F4E-90EF-9072BB46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3</cp:revision>
  <cp:lastPrinted>2024-10-16T05:36:00Z</cp:lastPrinted>
  <dcterms:created xsi:type="dcterms:W3CDTF">2024-10-16T05:21:00Z</dcterms:created>
  <dcterms:modified xsi:type="dcterms:W3CDTF">2024-10-16T05:36:00Z</dcterms:modified>
</cp:coreProperties>
</file>